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2948" w14:textId="69D5C0D4" w:rsidR="00240606" w:rsidRPr="00052D65" w:rsidRDefault="00052D65" w:rsidP="008D6944">
      <w:pPr>
        <w:pStyle w:val="04nadpistabulky"/>
        <w:jc w:val="left"/>
        <w:rPr>
          <w:sz w:val="22"/>
        </w:rPr>
      </w:pPr>
      <w:r w:rsidRPr="00052D65">
        <w:rPr>
          <w:sz w:val="22"/>
        </w:rPr>
        <w:t>Sdělení klíčových informací</w:t>
      </w:r>
    </w:p>
    <w:p w14:paraId="01749EE5" w14:textId="0E0B08B9" w:rsidR="00BE1DF4" w:rsidRPr="008F3577" w:rsidRDefault="00052D65" w:rsidP="00FF1C51">
      <w:pPr>
        <w:jc w:val="both"/>
      </w:pPr>
      <w:r w:rsidRPr="008D6944">
        <w:t xml:space="preserve">V tomto sdělení naleznete klíčové informace o tomto investičním produktu. Nejedná se o propagační materiál. Poskytnutí těchto informací vyžaduje zákon, aby </w:t>
      </w:r>
      <w:r w:rsidR="00597207">
        <w:t>V</w:t>
      </w:r>
      <w:r w:rsidRPr="008D6944">
        <w:t>ám</w:t>
      </w:r>
      <w:r w:rsidR="00597207">
        <w:t xml:space="preserve"> sdělení</w:t>
      </w:r>
      <w:r w:rsidRPr="008D6944">
        <w:t xml:space="preserve"> pomohlo porozumět podstatě, rizikům, nákladům, možným výnosům a ztrátám spojeným s tímto produktem a porovnat jej s jinými produkty.</w:t>
      </w:r>
      <w:r w:rsidR="00FF1C51" w:rsidRPr="00FF1C51">
        <w:rPr>
          <w:sz w:val="16"/>
          <w:szCs w:val="16"/>
        </w:rPr>
        <w:t xml:space="preserve"> </w:t>
      </w:r>
      <w:r w:rsidR="00FF1C51" w:rsidRPr="00EC080D">
        <w:t>Tento finanční produkt neprosazuje environmentální nebo sociální vlastnosti ve smyslu Nařízení Evropského parlamentu a Rady (EU) 2019/2088 ze dne 27. listopadu 2019 o zveřejňování informací souvisejících s udržitelností v odvětví finančních služeb.</w:t>
      </w:r>
    </w:p>
    <w:p w14:paraId="3365EBD3" w14:textId="503E2595" w:rsidR="00240606" w:rsidRPr="00F715FA" w:rsidRDefault="00052D65" w:rsidP="008D6944">
      <w:pPr>
        <w:pStyle w:val="03nadpissekce"/>
      </w:pPr>
      <w:r>
        <w:t>Obecné informace</w:t>
      </w:r>
    </w:p>
    <w:tbl>
      <w:tblPr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652"/>
        <w:gridCol w:w="2835"/>
        <w:gridCol w:w="3998"/>
      </w:tblGrid>
      <w:tr w:rsidR="008A7DE4" w:rsidRPr="00B83C8B" w14:paraId="101F0CD3" w14:textId="77777777" w:rsidTr="009B0BB7">
        <w:trPr>
          <w:trHeight w:val="142"/>
        </w:trPr>
        <w:tc>
          <w:tcPr>
            <w:tcW w:w="6487" w:type="dxa"/>
            <w:gridSpan w:val="2"/>
            <w:shd w:val="clear" w:color="auto" w:fill="0D2234"/>
            <w:vAlign w:val="center"/>
          </w:tcPr>
          <w:p w14:paraId="64AF1042" w14:textId="77777777" w:rsidR="008A7DE4" w:rsidRPr="003873FD" w:rsidRDefault="008A7DE4" w:rsidP="009B0BB7">
            <w:pPr>
              <w:pStyle w:val="Popispole"/>
              <w:rPr>
                <w:rStyle w:val="Siln"/>
              </w:rPr>
            </w:pPr>
            <w:r w:rsidRPr="003873FD">
              <w:rPr>
                <w:rStyle w:val="Siln"/>
              </w:rPr>
              <w:t>NÁZEV PRODUKTU</w:t>
            </w:r>
          </w:p>
        </w:tc>
        <w:tc>
          <w:tcPr>
            <w:tcW w:w="3998" w:type="dxa"/>
            <w:shd w:val="clear" w:color="auto" w:fill="0D2234"/>
            <w:vAlign w:val="center"/>
          </w:tcPr>
          <w:p w14:paraId="2B0F96F5" w14:textId="77777777" w:rsidR="008A7DE4" w:rsidRPr="003873FD" w:rsidRDefault="008A7DE4" w:rsidP="009B0BB7">
            <w:pPr>
              <w:pStyle w:val="Popispole"/>
              <w:rPr>
                <w:rStyle w:val="Siln"/>
              </w:rPr>
            </w:pPr>
            <w:r w:rsidRPr="003873FD">
              <w:rPr>
                <w:rStyle w:val="Siln"/>
              </w:rPr>
              <w:t>ISIN</w:t>
            </w:r>
          </w:p>
        </w:tc>
      </w:tr>
      <w:tr w:rsidR="008A7DE4" w:rsidRPr="00B83C8B" w14:paraId="6D5CD057" w14:textId="77777777" w:rsidTr="009B0BB7">
        <w:trPr>
          <w:trHeight w:val="283"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123BA9A3" w14:textId="77777777" w:rsidR="008A7DE4" w:rsidRPr="00D6570A" w:rsidRDefault="008A7DE4" w:rsidP="009B0BB7">
            <w:pPr>
              <w:pStyle w:val="00text"/>
              <w:rPr>
                <w:rStyle w:val="Siln"/>
              </w:rPr>
            </w:pPr>
            <w:r w:rsidRPr="00210B1B">
              <w:rPr>
                <w:rStyle w:val="Siln"/>
              </w:rPr>
              <w:t xml:space="preserve">Prioritní investiční akcie </w:t>
            </w:r>
            <w:proofErr w:type="spellStart"/>
            <w:r w:rsidRPr="00210B1B">
              <w:rPr>
                <w:rStyle w:val="Siln"/>
              </w:rPr>
              <w:t>Nemomax</w:t>
            </w:r>
            <w:proofErr w:type="spellEnd"/>
            <w:r w:rsidRPr="00210B1B">
              <w:rPr>
                <w:rStyle w:val="Siln"/>
              </w:rPr>
              <w:t xml:space="preserve"> investiční fond s proměnným základním kapitálem, a.s.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15E7816C" w14:textId="77777777" w:rsidR="008A7DE4" w:rsidRPr="00D6570A" w:rsidRDefault="008A7DE4" w:rsidP="009B0BB7">
            <w:pPr>
              <w:pStyle w:val="00text"/>
              <w:rPr>
                <w:rStyle w:val="Siln"/>
              </w:rPr>
            </w:pPr>
            <w:r w:rsidRPr="006819B3">
              <w:rPr>
                <w:rStyle w:val="Siln"/>
              </w:rPr>
              <w:t>CZ0008043676</w:t>
            </w:r>
          </w:p>
        </w:tc>
      </w:tr>
      <w:tr w:rsidR="008A7DE4" w:rsidRPr="00B83C8B" w14:paraId="5B69D033" w14:textId="77777777" w:rsidTr="009B0BB7">
        <w:trPr>
          <w:trHeight w:val="62"/>
        </w:trPr>
        <w:tc>
          <w:tcPr>
            <w:tcW w:w="3652" w:type="dxa"/>
            <w:shd w:val="clear" w:color="auto" w:fill="0D2234"/>
            <w:vAlign w:val="center"/>
          </w:tcPr>
          <w:p w14:paraId="1CB19E15" w14:textId="77777777" w:rsidR="008A7DE4" w:rsidRPr="00D6570A" w:rsidRDefault="008A7DE4" w:rsidP="009B0BB7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NÁZEV TVŮRCE PRODUKTU</w:t>
            </w:r>
          </w:p>
        </w:tc>
        <w:tc>
          <w:tcPr>
            <w:tcW w:w="2835" w:type="dxa"/>
            <w:shd w:val="clear" w:color="auto" w:fill="0D2234"/>
            <w:vAlign w:val="center"/>
          </w:tcPr>
          <w:p w14:paraId="650A447F" w14:textId="77777777" w:rsidR="008A7DE4" w:rsidRPr="00D6570A" w:rsidRDefault="008A7DE4" w:rsidP="009B0BB7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INTERNETOVÁ STRÁNKA</w:t>
            </w:r>
          </w:p>
        </w:tc>
        <w:tc>
          <w:tcPr>
            <w:tcW w:w="3998" w:type="dxa"/>
            <w:shd w:val="clear" w:color="auto" w:fill="0D2234"/>
            <w:vAlign w:val="center"/>
          </w:tcPr>
          <w:p w14:paraId="55F2B72B" w14:textId="77777777" w:rsidR="008A7DE4" w:rsidRPr="003873FD" w:rsidRDefault="008A7DE4" w:rsidP="009B0BB7">
            <w:pPr>
              <w:pStyle w:val="Popispole"/>
              <w:rPr>
                <w:rStyle w:val="Siln"/>
              </w:rPr>
            </w:pPr>
            <w:r w:rsidRPr="003873FD">
              <w:rPr>
                <w:rStyle w:val="Siln"/>
              </w:rPr>
              <w:t xml:space="preserve">TELEFON </w:t>
            </w:r>
          </w:p>
        </w:tc>
      </w:tr>
      <w:tr w:rsidR="008A7DE4" w:rsidRPr="00B83C8B" w14:paraId="47F62D01" w14:textId="77777777" w:rsidTr="0053436A">
        <w:trPr>
          <w:trHeight w:val="312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05651DBB" w14:textId="77777777" w:rsidR="008A7DE4" w:rsidRPr="001B0BE3" w:rsidRDefault="008A7DE4" w:rsidP="009B0BB7">
            <w:pPr>
              <w:pStyle w:val="00text"/>
              <w:rPr>
                <w:rStyle w:val="Siln"/>
                <w:rFonts w:ascii="Calibri" w:hAnsi="Calibri" w:cs="Calibri"/>
                <w:b/>
              </w:rPr>
            </w:pPr>
            <w:proofErr w:type="spellStart"/>
            <w:r w:rsidRPr="00210B1B">
              <w:rPr>
                <w:rStyle w:val="Siln"/>
              </w:rPr>
              <w:t>Nemomax</w:t>
            </w:r>
            <w:proofErr w:type="spellEnd"/>
            <w:r w:rsidRPr="00210B1B">
              <w:rPr>
                <w:rStyle w:val="Siln"/>
              </w:rPr>
              <w:t xml:space="preserve"> investiční fond s proměnným základním kapitálem, a.s.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3324350" w14:textId="77777777" w:rsidR="008A7DE4" w:rsidRPr="00D6570A" w:rsidRDefault="008A7DE4" w:rsidP="009B0BB7">
            <w:pPr>
              <w:pStyle w:val="00text"/>
              <w:rPr>
                <w:rStyle w:val="Siln"/>
              </w:rPr>
            </w:pPr>
            <w:r w:rsidRPr="00D6570A">
              <w:rPr>
                <w:rStyle w:val="Siln"/>
              </w:rPr>
              <w:t>www.avantfunds.cz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0A4D0645" w14:textId="77777777" w:rsidR="008A7DE4" w:rsidRPr="00D6570A" w:rsidRDefault="008A7DE4" w:rsidP="009B0BB7">
            <w:pPr>
              <w:pStyle w:val="00text"/>
              <w:rPr>
                <w:rStyle w:val="Siln"/>
              </w:rPr>
            </w:pPr>
            <w:r w:rsidRPr="00210B1B">
              <w:rPr>
                <w:rStyle w:val="Siln"/>
              </w:rPr>
              <w:t>+420 277 000 142</w:t>
            </w:r>
          </w:p>
        </w:tc>
      </w:tr>
      <w:tr w:rsidR="008A7DE4" w:rsidRPr="00B83C8B" w14:paraId="3CD1AF17" w14:textId="77777777" w:rsidTr="009B0BB7">
        <w:trPr>
          <w:trHeight w:val="62"/>
        </w:trPr>
        <w:tc>
          <w:tcPr>
            <w:tcW w:w="6487" w:type="dxa"/>
            <w:gridSpan w:val="2"/>
            <w:shd w:val="clear" w:color="auto" w:fill="0D2234"/>
            <w:vAlign w:val="center"/>
          </w:tcPr>
          <w:p w14:paraId="4A295215" w14:textId="77777777" w:rsidR="008A7DE4" w:rsidRPr="00D6570A" w:rsidRDefault="008A7DE4" w:rsidP="009B0BB7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ORGÁN DOHLEDU ODPOVĚDNÝ ZA DOHLED NAD TVŮRCEM PRODUKTU</w:t>
            </w:r>
          </w:p>
        </w:tc>
        <w:tc>
          <w:tcPr>
            <w:tcW w:w="3998" w:type="dxa"/>
            <w:shd w:val="clear" w:color="auto" w:fill="0D2234"/>
            <w:vAlign w:val="center"/>
          </w:tcPr>
          <w:p w14:paraId="2E3EDDDA" w14:textId="77777777" w:rsidR="008A7DE4" w:rsidRPr="00D6570A" w:rsidRDefault="008A7DE4" w:rsidP="009B0BB7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DATUM VYPRACOVÁNÍ/POSLEDNÍ ÚPRAVY</w:t>
            </w:r>
          </w:p>
        </w:tc>
      </w:tr>
      <w:tr w:rsidR="008A7DE4" w:rsidRPr="00B83C8B" w14:paraId="5A8AE608" w14:textId="77777777" w:rsidTr="009B0BB7">
        <w:trPr>
          <w:trHeight w:val="283"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5336D65A" w14:textId="77777777" w:rsidR="008A7DE4" w:rsidRPr="00390BBC" w:rsidRDefault="008A7DE4" w:rsidP="009B0BB7">
            <w:pPr>
              <w:pStyle w:val="00text"/>
              <w:rPr>
                <w:rStyle w:val="Siln"/>
              </w:rPr>
            </w:pPr>
            <w:r w:rsidRPr="00390BBC">
              <w:rPr>
                <w:rStyle w:val="Siln"/>
              </w:rPr>
              <w:t>Česká národní banka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79CA2218" w14:textId="6D8A226D" w:rsidR="008A7DE4" w:rsidRPr="00390BBC" w:rsidRDefault="00FF1C51" w:rsidP="009B0BB7">
            <w:pPr>
              <w:pStyle w:val="00text"/>
              <w:rPr>
                <w:rStyle w:val="Siln"/>
              </w:rPr>
            </w:pPr>
            <w:r>
              <w:rPr>
                <w:rStyle w:val="Siln"/>
              </w:rPr>
              <w:t>3</w:t>
            </w:r>
            <w:r w:rsidR="008A7DE4" w:rsidRPr="00390BBC">
              <w:rPr>
                <w:rStyle w:val="Siln"/>
              </w:rPr>
              <w:t>.</w:t>
            </w:r>
            <w:r w:rsidR="009870B8">
              <w:rPr>
                <w:rStyle w:val="Siln"/>
              </w:rPr>
              <w:t>ří</w:t>
            </w:r>
            <w:r>
              <w:rPr>
                <w:rStyle w:val="Siln"/>
              </w:rPr>
              <w:t>jna</w:t>
            </w:r>
            <w:r w:rsidR="009870B8">
              <w:rPr>
                <w:rStyle w:val="Siln"/>
              </w:rPr>
              <w:t xml:space="preserve"> </w:t>
            </w:r>
            <w:r w:rsidR="008A7DE4" w:rsidRPr="00390BBC">
              <w:rPr>
                <w:rStyle w:val="Siln"/>
              </w:rPr>
              <w:t>2022</w:t>
            </w:r>
          </w:p>
        </w:tc>
      </w:tr>
      <w:tr w:rsidR="008A7DE4" w:rsidRPr="00B83C8B" w14:paraId="450D3ED9" w14:textId="77777777" w:rsidTr="009B0BB7">
        <w:trPr>
          <w:trHeight w:val="53"/>
        </w:trPr>
        <w:tc>
          <w:tcPr>
            <w:tcW w:w="10485" w:type="dxa"/>
            <w:gridSpan w:val="3"/>
            <w:shd w:val="clear" w:color="auto" w:fill="0D2234"/>
            <w:vAlign w:val="center"/>
          </w:tcPr>
          <w:p w14:paraId="1DA7AFBA" w14:textId="77777777" w:rsidR="008A7DE4" w:rsidRPr="00D6570A" w:rsidRDefault="008A7DE4" w:rsidP="009B0BB7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UPOZORNĚNÍ</w:t>
            </w:r>
          </w:p>
        </w:tc>
      </w:tr>
      <w:tr w:rsidR="008A7DE4" w:rsidRPr="00B83C8B" w14:paraId="763D321A" w14:textId="77777777" w:rsidTr="0053436A">
        <w:trPr>
          <w:trHeight w:val="58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2830E13A" w14:textId="77777777" w:rsidR="008A7DE4" w:rsidRPr="00D6570A" w:rsidRDefault="008A7DE4" w:rsidP="009B0BB7">
            <w:pPr>
              <w:pStyle w:val="00text"/>
              <w:rPr>
                <w:rStyle w:val="Siln"/>
              </w:rPr>
            </w:pPr>
            <w:r w:rsidRPr="00D6570A">
              <w:rPr>
                <w:rStyle w:val="Siln"/>
              </w:rPr>
              <w:t>PRODUKT, O JEHOŽ KOUPI UVAŽUJETE, JE SLOŽITÝ A MŮŽE BÝT OBTÍŽNĚ SROZUMITELNÝ.</w:t>
            </w:r>
          </w:p>
        </w:tc>
      </w:tr>
    </w:tbl>
    <w:p w14:paraId="63E15B0F" w14:textId="0B7730FA" w:rsidR="00240606" w:rsidRPr="00F715FA" w:rsidRDefault="00240606" w:rsidP="008D6944">
      <w:pPr>
        <w:pStyle w:val="03nadpissekce"/>
      </w:pPr>
      <w:r>
        <w:t xml:space="preserve">O </w:t>
      </w:r>
      <w:r w:rsidR="00D6570A">
        <w:t>jaký produkt se jedná?</w:t>
      </w:r>
    </w:p>
    <w:tbl>
      <w:tblPr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240606" w:rsidRPr="00B83C8B" w14:paraId="62DBBD57" w14:textId="77777777" w:rsidTr="00EF204F">
        <w:trPr>
          <w:trHeight w:val="47"/>
        </w:trPr>
        <w:tc>
          <w:tcPr>
            <w:tcW w:w="10485" w:type="dxa"/>
            <w:shd w:val="clear" w:color="auto" w:fill="0D2234"/>
            <w:vAlign w:val="center"/>
          </w:tcPr>
          <w:p w14:paraId="576F45F5" w14:textId="77777777" w:rsidR="00240606" w:rsidRPr="00D6570A" w:rsidRDefault="00240606" w:rsidP="008D6944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TYP PRODUKTU</w:t>
            </w:r>
          </w:p>
        </w:tc>
      </w:tr>
      <w:tr w:rsidR="00240606" w:rsidRPr="00B83C8B" w14:paraId="1B561877" w14:textId="77777777" w:rsidTr="0053436A">
        <w:trPr>
          <w:trHeight w:val="945"/>
        </w:trPr>
        <w:tc>
          <w:tcPr>
            <w:tcW w:w="10485" w:type="dxa"/>
            <w:shd w:val="clear" w:color="auto" w:fill="F2F2F2" w:themeFill="background1" w:themeFillShade="F2"/>
          </w:tcPr>
          <w:p w14:paraId="7DFE93C3" w14:textId="77777777" w:rsidR="008A7DE4" w:rsidRPr="00A74716" w:rsidRDefault="008A7DE4" w:rsidP="008A7DE4">
            <w:pPr>
              <w:pStyle w:val="00text"/>
              <w:rPr>
                <w:rStyle w:val="Siln"/>
              </w:rPr>
            </w:pPr>
            <w:r w:rsidRPr="00A74716">
              <w:rPr>
                <w:rStyle w:val="Siln"/>
              </w:rPr>
              <w:t xml:space="preserve">Prioritní investiční akcie vydané k fondu </w:t>
            </w:r>
            <w:proofErr w:type="spellStart"/>
            <w:r w:rsidRPr="00A74716">
              <w:rPr>
                <w:rStyle w:val="Siln"/>
              </w:rPr>
              <w:t>Nemomax</w:t>
            </w:r>
            <w:proofErr w:type="spellEnd"/>
            <w:r w:rsidRPr="00A74716">
              <w:rPr>
                <w:rStyle w:val="Siln"/>
              </w:rPr>
              <w:t xml:space="preserve"> investiční fond s proměnným základním kapitálem, a.s.</w:t>
            </w:r>
            <w:r>
              <w:rPr>
                <w:rStyle w:val="Siln"/>
              </w:rPr>
              <w:t xml:space="preserve"> </w:t>
            </w:r>
            <w:r w:rsidRPr="00A74716">
              <w:rPr>
                <w:rStyle w:val="Siln"/>
              </w:rPr>
              <w:t>Jedná se o účastnický cenný papír vydaný k investičnímu fondu, který je:</w:t>
            </w:r>
          </w:p>
          <w:p w14:paraId="2A7796C1" w14:textId="77777777" w:rsidR="008A7DE4" w:rsidRPr="00A74716" w:rsidRDefault="008A7DE4" w:rsidP="008A7DE4">
            <w:pPr>
              <w:pStyle w:val="00text"/>
              <w:numPr>
                <w:ilvl w:val="0"/>
                <w:numId w:val="10"/>
              </w:numPr>
              <w:rPr>
                <w:rStyle w:val="Siln"/>
              </w:rPr>
            </w:pPr>
            <w:r w:rsidRPr="0055053E">
              <w:rPr>
                <w:rStyle w:val="Siln"/>
              </w:rPr>
              <w:t>alternativním investičním fondem ve smyslu Směrnice Evropského parlamentu a Rady 2011/61/EU (dále jen „AIFMD“);</w:t>
            </w:r>
            <w:r>
              <w:rPr>
                <w:rStyle w:val="Siln"/>
              </w:rPr>
              <w:t xml:space="preserve"> </w:t>
            </w:r>
            <w:r w:rsidRPr="00A74716">
              <w:rPr>
                <w:rStyle w:val="Siln"/>
              </w:rPr>
              <w:t>a</w:t>
            </w:r>
          </w:p>
          <w:p w14:paraId="1A571F3D" w14:textId="48DF27C7" w:rsidR="00FA5561" w:rsidRPr="00F77F7D" w:rsidRDefault="008A7DE4" w:rsidP="008A7DE4">
            <w:pPr>
              <w:pStyle w:val="00text"/>
              <w:numPr>
                <w:ilvl w:val="0"/>
                <w:numId w:val="10"/>
              </w:numPr>
              <w:ind w:left="714" w:hanging="357"/>
              <w:rPr>
                <w:rStyle w:val="Siln"/>
              </w:rPr>
            </w:pPr>
            <w:r w:rsidRPr="00A74716">
              <w:rPr>
                <w:rStyle w:val="Siln"/>
              </w:rPr>
              <w:t>fondem kvalifikovaných investorů ve smyslu zákona č. 240/2013 Sb., o investičních společnostech a investičních fondech (dále jen „ZISIF“).</w:t>
            </w:r>
          </w:p>
        </w:tc>
      </w:tr>
      <w:tr w:rsidR="00240606" w:rsidRPr="00B83C8B" w14:paraId="6EBCCF06" w14:textId="77777777" w:rsidTr="00EF204F">
        <w:trPr>
          <w:trHeight w:val="56"/>
        </w:trPr>
        <w:tc>
          <w:tcPr>
            <w:tcW w:w="10485" w:type="dxa"/>
            <w:shd w:val="clear" w:color="auto" w:fill="0D2234"/>
            <w:vAlign w:val="center"/>
          </w:tcPr>
          <w:p w14:paraId="50F554A3" w14:textId="77777777" w:rsidR="00240606" w:rsidRPr="00D6570A" w:rsidRDefault="00240606" w:rsidP="008D6944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CÍLE PRODUKTU</w:t>
            </w:r>
          </w:p>
        </w:tc>
      </w:tr>
      <w:tr w:rsidR="00240606" w:rsidRPr="00B83C8B" w14:paraId="31D99D7E" w14:textId="77777777" w:rsidTr="00554031">
        <w:tc>
          <w:tcPr>
            <w:tcW w:w="10485" w:type="dxa"/>
            <w:shd w:val="clear" w:color="auto" w:fill="F2F2F2" w:themeFill="background1" w:themeFillShade="F2"/>
          </w:tcPr>
          <w:p w14:paraId="43FF3D25" w14:textId="18F9A830" w:rsidR="00240606" w:rsidRPr="003873FD" w:rsidRDefault="008A7DE4" w:rsidP="0053436A">
            <w:pPr>
              <w:pStyle w:val="00text"/>
              <w:spacing w:before="0" w:after="0"/>
              <w:rPr>
                <w:rStyle w:val="Siln"/>
              </w:rPr>
            </w:pPr>
            <w:r w:rsidRPr="00A74716">
              <w:rPr>
                <w:rStyle w:val="Siln"/>
              </w:rPr>
              <w:t>Hlavním podkladovým aktivem fondu jsou investice do společností s aktivitami v oblasti nemovitostního trhu (rezidenční a komerční nemovitosti)</w:t>
            </w:r>
            <w:r>
              <w:rPr>
                <w:rStyle w:val="Siln"/>
              </w:rPr>
              <w:t xml:space="preserve">. </w:t>
            </w:r>
            <w:r w:rsidRPr="00A74716">
              <w:rPr>
                <w:rStyle w:val="Siln"/>
              </w:rPr>
              <w:t>Fond realizuje svou investiční strategii zejména prostřednictvím pořízení podílu na</w:t>
            </w:r>
            <w:r>
              <w:rPr>
                <w:rStyle w:val="Siln"/>
              </w:rPr>
              <w:t xml:space="preserve"> nemovitostní</w:t>
            </w:r>
            <w:r w:rsidRPr="00A74716">
              <w:rPr>
                <w:rStyle w:val="Siln"/>
              </w:rPr>
              <w:t xml:space="preserve"> společnosti</w:t>
            </w:r>
            <w:r>
              <w:rPr>
                <w:rStyle w:val="Siln"/>
              </w:rPr>
              <w:t>,</w:t>
            </w:r>
            <w:r w:rsidRPr="00A74716">
              <w:rPr>
                <w:rStyle w:val="Siln"/>
              </w:rPr>
              <w:t xml:space="preserve"> poskytnutím úvěru </w:t>
            </w:r>
            <w:r>
              <w:rPr>
                <w:rStyle w:val="Siln"/>
              </w:rPr>
              <w:t>nemovitostním společnostem</w:t>
            </w:r>
            <w:r w:rsidRPr="00A74716">
              <w:rPr>
                <w:rStyle w:val="Siln"/>
              </w:rPr>
              <w:t>. Doplňkově je fond oprávněn dle svého statutu investovat i do dalších druhů aktiv. Investice fondu se soustřeďují na území České republiky. Výnos portfolia fondu je generován kapitálovým zhodnocením investic a průběžným inkasem dividend a plateb úroků z poskytnutých úvěrů. Některé investice jsou realizovány také s využitím úvěrového financování. Tímto se zvyšuje potenciální výnos produktu, ale současně je s tímto produktem spojeno významně vyšší riziko ztráty investovaných prostředků. Výnos produktu je určen na základě pravidel pro distribuci výnosu portfolia definovaných ve stanovách a statutu fondu. Distribuce výnosu může být složitá a obtížně srozumitelná, a proto je nezbytné, aby se investor seznámil s jejími parametry ještě před uskutečněním investice.</w:t>
            </w:r>
            <w:r>
              <w:rPr>
                <w:rStyle w:val="Siln"/>
              </w:rPr>
              <w:t xml:space="preserve"> </w:t>
            </w:r>
            <w:r w:rsidRPr="00A74716">
              <w:rPr>
                <w:rStyle w:val="Siln"/>
              </w:rPr>
              <w:t>Vztah mezi výnosem portfolia podkladových aktiv a výnosem produktu není přímý. V případě zhodnocení portfolia fondu je investorům do produktu</w:t>
            </w:r>
            <w:r w:rsidR="00FF1C51">
              <w:rPr>
                <w:rStyle w:val="Siln"/>
              </w:rPr>
              <w:t xml:space="preserve"> PIA</w:t>
            </w:r>
            <w:r w:rsidRPr="00A74716">
              <w:rPr>
                <w:rStyle w:val="Siln"/>
              </w:rPr>
              <w:t xml:space="preserve"> přiřazeno dosažené zhodnocení prioritně</w:t>
            </w:r>
            <w:r>
              <w:rPr>
                <w:rStyle w:val="Siln"/>
              </w:rPr>
              <w:t>,</w:t>
            </w:r>
            <w:r w:rsidRPr="00A74716">
              <w:rPr>
                <w:rStyle w:val="Siln"/>
              </w:rPr>
              <w:t xml:space="preserve"> a to až do výše zhodnocení produktu odpovídající </w:t>
            </w:r>
            <w:r>
              <w:rPr>
                <w:rStyle w:val="Siln"/>
              </w:rPr>
              <w:t>1</w:t>
            </w:r>
            <w:r w:rsidR="00FF1C51">
              <w:rPr>
                <w:rStyle w:val="Siln"/>
              </w:rPr>
              <w:t>0,0</w:t>
            </w:r>
            <w:r w:rsidRPr="00A74716">
              <w:rPr>
                <w:rStyle w:val="Siln"/>
              </w:rPr>
              <w:t xml:space="preserve"> % </w:t>
            </w:r>
            <w:proofErr w:type="spellStart"/>
            <w:proofErr w:type="gramStart"/>
            <w:r w:rsidRPr="00A74716">
              <w:rPr>
                <w:rStyle w:val="Siln"/>
              </w:rPr>
              <w:t>p.a</w:t>
            </w:r>
            <w:proofErr w:type="spellEnd"/>
            <w:r w:rsidRPr="00A74716">
              <w:rPr>
                <w:rStyle w:val="Siln"/>
              </w:rPr>
              <w:t>.</w:t>
            </w:r>
            <w:r w:rsidR="00FF1C51">
              <w:rPr>
                <w:rStyle w:val="Siln"/>
              </w:rPr>
              <w:t>.</w:t>
            </w:r>
            <w:proofErr w:type="gramEnd"/>
            <w:r w:rsidR="00FF1C51">
              <w:rPr>
                <w:rStyle w:val="Siln"/>
              </w:rPr>
              <w:t xml:space="preserve"> </w:t>
            </w:r>
            <w:r w:rsidRPr="00A74716">
              <w:rPr>
                <w:rStyle w:val="Siln"/>
              </w:rPr>
              <w:t>Tato hodnota odpovídá současně maximálnímu zhodnocení produktu</w:t>
            </w:r>
            <w:r w:rsidR="00DF4A6E">
              <w:rPr>
                <w:rStyle w:val="Siln"/>
              </w:rPr>
              <w:t>.</w:t>
            </w:r>
            <w:r w:rsidRPr="00A74716">
              <w:rPr>
                <w:rStyle w:val="Siln"/>
              </w:rPr>
              <w:t xml:space="preserve"> V případě nedostatečné výkonnosti portfolia fondu nebo ztráty, kterou utrpí portfolio investičního fondu, je minimální </w:t>
            </w:r>
            <w:r>
              <w:rPr>
                <w:rStyle w:val="Siln"/>
              </w:rPr>
              <w:t>zhodnocení</w:t>
            </w:r>
            <w:r w:rsidRPr="00A74716">
              <w:rPr>
                <w:rStyle w:val="Siln"/>
              </w:rPr>
              <w:t xml:space="preserve"> produktu, resp. hodnota produktu</w:t>
            </w:r>
            <w:r>
              <w:rPr>
                <w:rStyle w:val="Siln"/>
              </w:rPr>
              <w:t>,</w:t>
            </w:r>
            <w:r w:rsidRPr="00A74716">
              <w:rPr>
                <w:rStyle w:val="Siln"/>
              </w:rPr>
              <w:t xml:space="preserve"> částečně chráněna hodnotou investic investorů do ostatních druhů investičních akcií vydávaných k fondu (výkonnostní investiční akcie)</w:t>
            </w:r>
            <w:r>
              <w:rPr>
                <w:rStyle w:val="Siln"/>
              </w:rPr>
              <w:t>,</w:t>
            </w:r>
            <w:r w:rsidRPr="00A74716">
              <w:rPr>
                <w:rStyle w:val="Siln"/>
              </w:rPr>
              <w:t xml:space="preserve"> a to tak, že část fondového kapitálu připadající na výkonnostní investiční akcie, která zajistí dosažení minimálního zhodnocení produktu, bude redistribuována do části fondového kapitálu připadající na produkt. Minimální</w:t>
            </w:r>
            <w:r>
              <w:rPr>
                <w:rStyle w:val="Siln"/>
              </w:rPr>
              <w:t xml:space="preserve"> plánované</w:t>
            </w:r>
            <w:r w:rsidRPr="00A74716">
              <w:rPr>
                <w:rStyle w:val="Siln"/>
              </w:rPr>
              <w:t xml:space="preserve"> zhodnocení produktu bylo nastaveno na </w:t>
            </w:r>
            <w:r>
              <w:rPr>
                <w:rStyle w:val="Siln"/>
              </w:rPr>
              <w:t>6</w:t>
            </w:r>
            <w:r w:rsidRPr="00A74716">
              <w:rPr>
                <w:rStyle w:val="Siln"/>
              </w:rPr>
              <w:t>,1</w:t>
            </w:r>
            <w:r>
              <w:rPr>
                <w:rStyle w:val="Siln"/>
              </w:rPr>
              <w:t xml:space="preserve"> </w:t>
            </w:r>
            <w:r w:rsidRPr="00A74716">
              <w:rPr>
                <w:rStyle w:val="Siln"/>
              </w:rPr>
              <w:t xml:space="preserve">% </w:t>
            </w:r>
            <w:proofErr w:type="spellStart"/>
            <w:r w:rsidRPr="00A74716">
              <w:rPr>
                <w:rStyle w:val="Siln"/>
              </w:rPr>
              <w:t>p.a</w:t>
            </w:r>
            <w:proofErr w:type="spellEnd"/>
            <w:r w:rsidRPr="00A74716">
              <w:rPr>
                <w:rStyle w:val="Siln"/>
              </w:rPr>
              <w:t xml:space="preserve">. Dosažení minimálního zhodnocení však není v případě ztráty hodnoty investic investorů do výkonnostních investičních akcií </w:t>
            </w:r>
            <w:r w:rsidR="0053436A">
              <w:rPr>
                <w:rStyle w:val="Siln"/>
              </w:rPr>
              <w:t>nijak</w:t>
            </w:r>
            <w:r w:rsidRPr="00A74716">
              <w:rPr>
                <w:rStyle w:val="Siln"/>
              </w:rPr>
              <w:t xml:space="preserve"> garantováno.</w:t>
            </w:r>
          </w:p>
        </w:tc>
      </w:tr>
      <w:tr w:rsidR="00240606" w:rsidRPr="00B83C8B" w14:paraId="193E6336" w14:textId="77777777" w:rsidTr="00EF204F">
        <w:trPr>
          <w:trHeight w:val="66"/>
        </w:trPr>
        <w:tc>
          <w:tcPr>
            <w:tcW w:w="10485" w:type="dxa"/>
            <w:shd w:val="clear" w:color="auto" w:fill="0D2234"/>
            <w:vAlign w:val="center"/>
          </w:tcPr>
          <w:p w14:paraId="047BB794" w14:textId="77777777" w:rsidR="00240606" w:rsidRPr="00D6570A" w:rsidRDefault="00240606" w:rsidP="008D6944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ZAMÝŠLENÝ RETAILOVÝ INVESTOR</w:t>
            </w:r>
          </w:p>
        </w:tc>
      </w:tr>
      <w:tr w:rsidR="00240606" w:rsidRPr="00B83C8B" w14:paraId="5964929D" w14:textId="77777777" w:rsidTr="0053436A">
        <w:trPr>
          <w:trHeight w:val="1872"/>
        </w:trPr>
        <w:tc>
          <w:tcPr>
            <w:tcW w:w="10485" w:type="dxa"/>
            <w:shd w:val="clear" w:color="auto" w:fill="F2F2F2" w:themeFill="background1" w:themeFillShade="F2"/>
          </w:tcPr>
          <w:p w14:paraId="75515E5C" w14:textId="03C8E71D" w:rsidR="00D6570A" w:rsidRPr="00D6570A" w:rsidRDefault="00240606" w:rsidP="0053436A">
            <w:pPr>
              <w:pStyle w:val="00text"/>
              <w:spacing w:before="0" w:after="0"/>
              <w:rPr>
                <w:rStyle w:val="Siln"/>
              </w:rPr>
            </w:pPr>
            <w:r w:rsidRPr="00A26F54">
              <w:rPr>
                <w:rStyle w:val="Siln"/>
              </w:rPr>
              <w:t>Tento produkt může nabývat výlučně kvalifikovaný investor ve smyslu § 272 odst. 1 ZISIF. Produkt je vhodný pro investory, kteří zamýšlejí doplnit své portfolio o alternativní druhy investic s relativně konzervativním rizikově výnosovým profilem, jejichž výkonnost zpravidla není závislá na výkonnosti tradičních investičních nástrojů (akcie, dluhopisy). Produkt není vhodný pro investory, kteří vyžadují v případě potřeby rychlé zpeněžení své investice před uplynutím plánovaného investičního horizontu.</w:t>
            </w:r>
          </w:p>
          <w:p w14:paraId="46837EDF" w14:textId="04485F66" w:rsidR="003873FD" w:rsidRPr="00D6570A" w:rsidRDefault="00240606" w:rsidP="0053436A">
            <w:pPr>
              <w:pStyle w:val="00text"/>
              <w:spacing w:before="0" w:after="0"/>
              <w:rPr>
                <w:rStyle w:val="Siln"/>
                <w:rFonts w:ascii="Calibri" w:hAnsi="Calibri" w:cs="Calibri"/>
                <w:b/>
              </w:rPr>
            </w:pPr>
            <w:r w:rsidRPr="003873FD">
              <w:rPr>
                <w:rStyle w:val="Siln"/>
                <w:b/>
              </w:rPr>
              <w:t xml:space="preserve">Investiční horizont </w:t>
            </w:r>
            <w:r w:rsidRPr="008D6944">
              <w:rPr>
                <w:rStyle w:val="01zvyrazneniChar"/>
              </w:rPr>
              <w:t>inves</w:t>
            </w:r>
            <w:r w:rsidRPr="003873FD">
              <w:rPr>
                <w:rStyle w:val="Siln"/>
                <w:b/>
              </w:rPr>
              <w:t xml:space="preserve">tora: min. </w:t>
            </w:r>
            <w:r w:rsidR="00B95ADA">
              <w:rPr>
                <w:rStyle w:val="Siln"/>
                <w:b/>
              </w:rPr>
              <w:t>4</w:t>
            </w:r>
            <w:r w:rsidR="001455D5">
              <w:rPr>
                <w:rStyle w:val="Siln"/>
                <w:b/>
              </w:rPr>
              <w:t xml:space="preserve"> </w:t>
            </w:r>
            <w:r w:rsidR="00B95ADA">
              <w:rPr>
                <w:rStyle w:val="Siln"/>
                <w:b/>
              </w:rPr>
              <w:t>roky</w:t>
            </w:r>
          </w:p>
          <w:p w14:paraId="2E489BAB" w14:textId="76C27C8E" w:rsidR="00240606" w:rsidRDefault="00240606" w:rsidP="0053436A">
            <w:pPr>
              <w:pStyle w:val="00text"/>
              <w:spacing w:before="0" w:after="0"/>
              <w:rPr>
                <w:rFonts w:eastAsia="Calibri"/>
              </w:rPr>
            </w:pPr>
            <w:r w:rsidRPr="00D6570A">
              <w:rPr>
                <w:rFonts w:eastAsia="Calibri"/>
              </w:rPr>
              <w:t xml:space="preserve">Produkt je vhodný zejména pro investory, kteří: </w:t>
            </w:r>
          </w:p>
          <w:p w14:paraId="3288CCA2" w14:textId="39F5D17E" w:rsidR="00240606" w:rsidRPr="00D6570A" w:rsidRDefault="00240606" w:rsidP="0053436A">
            <w:pPr>
              <w:pStyle w:val="00text"/>
              <w:numPr>
                <w:ilvl w:val="0"/>
                <w:numId w:val="3"/>
              </w:numPr>
              <w:spacing w:before="0" w:after="0"/>
              <w:rPr>
                <w:rFonts w:eastAsia="Calibri"/>
              </w:rPr>
            </w:pPr>
            <w:r w:rsidRPr="00D6570A">
              <w:rPr>
                <w:rFonts w:eastAsia="Calibri"/>
              </w:rPr>
              <w:t>jsou schopni absorbovat ztrátu významné části investované částky</w:t>
            </w:r>
            <w:r w:rsidR="00F77F7D">
              <w:rPr>
                <w:rFonts w:eastAsia="Calibri"/>
              </w:rPr>
              <w:t>;</w:t>
            </w:r>
          </w:p>
          <w:p w14:paraId="451F30B4" w14:textId="1798E243" w:rsidR="00240606" w:rsidRPr="00D6570A" w:rsidRDefault="00240606" w:rsidP="0053436A">
            <w:pPr>
              <w:pStyle w:val="00text"/>
              <w:numPr>
                <w:ilvl w:val="0"/>
                <w:numId w:val="3"/>
              </w:numPr>
              <w:spacing w:before="0" w:after="0"/>
              <w:rPr>
                <w:rFonts w:eastAsia="Calibri"/>
              </w:rPr>
            </w:pPr>
            <w:r w:rsidRPr="00D6570A">
              <w:rPr>
                <w:rFonts w:eastAsia="Calibri"/>
              </w:rPr>
              <w:t>akceptují omezenou likviditu své investice</w:t>
            </w:r>
            <w:r w:rsidR="00F77F7D">
              <w:rPr>
                <w:rFonts w:eastAsia="Calibri"/>
              </w:rPr>
              <w:t>;</w:t>
            </w:r>
          </w:p>
          <w:p w14:paraId="589C38AA" w14:textId="57F86C3B" w:rsidR="00240606" w:rsidRPr="00D6570A" w:rsidRDefault="00240606" w:rsidP="0053436A">
            <w:pPr>
              <w:pStyle w:val="00text"/>
              <w:numPr>
                <w:ilvl w:val="0"/>
                <w:numId w:val="3"/>
              </w:numPr>
              <w:spacing w:before="0" w:after="0"/>
              <w:rPr>
                <w:rFonts w:eastAsia="Calibri"/>
              </w:rPr>
            </w:pPr>
            <w:r w:rsidRPr="00D6570A">
              <w:rPr>
                <w:rFonts w:eastAsia="Calibri"/>
              </w:rPr>
              <w:t>mají znalosti a zkušenosti s investováním do nemovitostí</w:t>
            </w:r>
            <w:r w:rsidR="00F77F7D">
              <w:rPr>
                <w:rFonts w:eastAsia="Calibri"/>
              </w:rPr>
              <w:t>;</w:t>
            </w:r>
          </w:p>
          <w:p w14:paraId="7C36B256" w14:textId="14117E5F" w:rsidR="00240606" w:rsidRPr="00403117" w:rsidRDefault="00640A4B" w:rsidP="0053436A">
            <w:pPr>
              <w:pStyle w:val="00text"/>
              <w:numPr>
                <w:ilvl w:val="0"/>
                <w:numId w:val="3"/>
              </w:numPr>
              <w:spacing w:before="0" w:after="0"/>
              <w:ind w:left="714" w:hanging="357"/>
              <w:rPr>
                <w:rStyle w:val="Siln"/>
                <w:rFonts w:ascii="Calibri" w:hAnsi="Calibri" w:cs="Calibri"/>
              </w:rPr>
            </w:pPr>
            <w:r w:rsidRPr="00640A4B">
              <w:rPr>
                <w:rFonts w:eastAsia="Calibri"/>
              </w:rPr>
              <w:t>mají znalosti a zkušenosti s investováním za využití úvěrového financování</w:t>
            </w:r>
            <w:r w:rsidR="004A7F43">
              <w:rPr>
                <w:rFonts w:eastAsia="Calibri"/>
              </w:rPr>
              <w:t>.</w:t>
            </w:r>
          </w:p>
        </w:tc>
      </w:tr>
    </w:tbl>
    <w:p w14:paraId="0259772B" w14:textId="7E697F93" w:rsidR="00240606" w:rsidRPr="00F715FA" w:rsidRDefault="00D6570A" w:rsidP="008D6944">
      <w:pPr>
        <w:pStyle w:val="03nadpissekce"/>
      </w:pPr>
      <w:r w:rsidRPr="00B369DD">
        <w:t>Jaká podstupuji rizika a jakého výnosu bych mohl dosáhnout?</w:t>
      </w:r>
    </w:p>
    <w:tbl>
      <w:tblPr>
        <w:tblW w:w="1049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90"/>
      </w:tblGrid>
      <w:tr w:rsidR="00240606" w:rsidRPr="00B83C8B" w14:paraId="742CACD1" w14:textId="77777777" w:rsidTr="00645DB3">
        <w:trPr>
          <w:trHeight w:val="47"/>
        </w:trPr>
        <w:tc>
          <w:tcPr>
            <w:tcW w:w="10485" w:type="dxa"/>
            <w:shd w:val="clear" w:color="auto" w:fill="0D2234"/>
            <w:vAlign w:val="center"/>
          </w:tcPr>
          <w:p w14:paraId="3D3D4FD7" w14:textId="77F44F1E" w:rsidR="00EB0AA5" w:rsidRPr="00EB0AA5" w:rsidRDefault="00240606" w:rsidP="008D6944">
            <w:pPr>
              <w:pStyle w:val="Popispole"/>
              <w:rPr>
                <w:rStyle w:val="Siln"/>
              </w:rPr>
            </w:pPr>
            <w:r w:rsidRPr="00EB0AA5">
              <w:rPr>
                <w:rStyle w:val="Siln"/>
              </w:rPr>
              <w:t>SOUHRNNÝ UKAZATEL RIZIK (SRI)</w:t>
            </w:r>
          </w:p>
        </w:tc>
      </w:tr>
      <w:tr w:rsidR="00240606" w:rsidRPr="00B83C8B" w14:paraId="64005721" w14:textId="77777777" w:rsidTr="00645DB3">
        <w:trPr>
          <w:trHeight w:val="779"/>
        </w:trPr>
        <w:tc>
          <w:tcPr>
            <w:tcW w:w="10485" w:type="dxa"/>
            <w:shd w:val="clear" w:color="auto" w:fill="F2F2F2" w:themeFill="background1" w:themeFillShade="F2"/>
          </w:tcPr>
          <w:p w14:paraId="728C17A6" w14:textId="77777777" w:rsidR="00EB0AA5" w:rsidRPr="00BE1DF4" w:rsidRDefault="00EB0AA5" w:rsidP="00BE1DF4">
            <w:pPr>
              <w:pStyle w:val="00text"/>
              <w:rPr>
                <w:sz w:val="4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359"/>
              <w:gridCol w:w="1359"/>
              <w:gridCol w:w="1359"/>
              <w:gridCol w:w="1359"/>
              <w:gridCol w:w="1359"/>
              <w:gridCol w:w="1359"/>
              <w:gridCol w:w="1359"/>
            </w:tblGrid>
            <w:tr w:rsidR="00240606" w:rsidRPr="008F3577" w14:paraId="2CEF282D" w14:textId="77777777" w:rsidTr="00A26F54">
              <w:trPr>
                <w:trHeight w:val="284"/>
              </w:trPr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70EECA3B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1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13D12077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2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58D71F6A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3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4FDD0976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4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6DC0D98B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5</w:t>
                  </w:r>
                </w:p>
              </w:tc>
              <w:tc>
                <w:tcPr>
                  <w:tcW w:w="1359" w:type="dxa"/>
                  <w:shd w:val="clear" w:color="auto" w:fill="0D2234"/>
                  <w:vAlign w:val="center"/>
                </w:tcPr>
                <w:p w14:paraId="1A6695FF" w14:textId="77777777" w:rsidR="00240606" w:rsidRPr="00EB0AA5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b/>
                      <w:color w:val="FFFFFF" w:themeColor="background1"/>
                      <w:szCs w:val="22"/>
                    </w:rPr>
                  </w:pPr>
                  <w:r w:rsidRPr="00EB0AA5">
                    <w:rPr>
                      <w:rStyle w:val="Siln"/>
                      <w:rFonts w:ascii="Calibri" w:hAnsi="Calibri" w:cs="Calibri"/>
                      <w:b/>
                      <w:color w:val="FFFFFF" w:themeColor="background1"/>
                      <w:szCs w:val="22"/>
                    </w:rPr>
                    <w:t>6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6C950BB6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7</w:t>
                  </w:r>
                </w:p>
              </w:tc>
            </w:tr>
          </w:tbl>
          <w:p w14:paraId="6DE4FEEB" w14:textId="5F275851" w:rsidR="00240606" w:rsidRDefault="00240606" w:rsidP="00BE1DF4">
            <w:pPr>
              <w:rPr>
                <w:rStyle w:val="Siln"/>
                <w:rFonts w:ascii="Calibri" w:hAnsi="Calibri" w:cs="Calibri"/>
                <w:szCs w:val="22"/>
              </w:rPr>
            </w:pPr>
            <w:r>
              <w:rPr>
                <w:rStyle w:val="Siln"/>
                <w:rFonts w:ascii="Calibri" w:hAnsi="Calibri" w:cs="Calibri"/>
                <w:szCs w:val="22"/>
              </w:rPr>
              <w:t>&lt;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</w:t>
            </w:r>
            <w:r w:rsidR="00EB0AA5">
              <w:rPr>
                <w:rStyle w:val="Siln"/>
                <w:rFonts w:ascii="Calibri" w:hAnsi="Calibri" w:cs="Calibri"/>
                <w:szCs w:val="22"/>
              </w:rPr>
              <w:t>∙∙∙∙∙∙∙∙∙∙∙∙</w:t>
            </w:r>
            <w:r>
              <w:rPr>
                <w:rStyle w:val="Siln"/>
                <w:rFonts w:ascii="Calibri" w:hAnsi="Calibri" w:cs="Calibri"/>
                <w:szCs w:val="22"/>
              </w:rPr>
              <w:t>∙∙∙∙∙∙∙∙∙∙∙∙∙∙∙∙∙∙∙∙∙∙∙∙∙∙∙∙∙∙∙∙∙∙∙∙∙∙∙∙∙∙∙∙∙∙∙∙∙∙∙∙∙∙∙∙∙∙∙∙∙∙∙∙∙∙∙∙∙∙∙∙∙∙∙∙∙∙∙∙∙∙∙∙∙∙∙∙∙∙∙∙∙&gt;</w:t>
            </w:r>
          </w:p>
          <w:p w14:paraId="05145C89" w14:textId="47B2EF31" w:rsidR="00240606" w:rsidRDefault="00EB0AA5" w:rsidP="00BE1DF4">
            <w:pPr>
              <w:pStyle w:val="00text"/>
              <w:rPr>
                <w:rStyle w:val="Siln"/>
                <w:b/>
              </w:rPr>
            </w:pPr>
            <w:r w:rsidRPr="00F77F7D">
              <w:rPr>
                <w:rStyle w:val="Siln"/>
                <w:b/>
              </w:rPr>
              <w:t xml:space="preserve">Nižší riziko                                       </w:t>
            </w:r>
            <w:r w:rsidR="00240606" w:rsidRPr="00F77F7D">
              <w:rPr>
                <w:rStyle w:val="Siln"/>
                <w:b/>
              </w:rPr>
              <w:t xml:space="preserve">                                                                                  </w:t>
            </w:r>
            <w:r w:rsidRPr="00F77F7D">
              <w:rPr>
                <w:rStyle w:val="Siln"/>
                <w:b/>
              </w:rPr>
              <w:t xml:space="preserve">                                                      </w:t>
            </w:r>
            <w:r w:rsidR="00F77F7D">
              <w:rPr>
                <w:rStyle w:val="Siln"/>
                <w:b/>
              </w:rPr>
              <w:t>V</w:t>
            </w:r>
            <w:r w:rsidRPr="00F77F7D">
              <w:rPr>
                <w:rStyle w:val="Siln"/>
                <w:b/>
              </w:rPr>
              <w:t>yšší riziko</w:t>
            </w:r>
          </w:p>
          <w:p w14:paraId="792E9B41" w14:textId="368F108E" w:rsidR="00240606" w:rsidRPr="00F77F7D" w:rsidRDefault="00BE1DF4" w:rsidP="00BE1DF4">
            <w:pPr>
              <w:rPr>
                <w:rStyle w:val="Sil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F9DB47E" wp14:editId="2F5437C2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26035</wp:posOffset>
                  </wp:positionV>
                  <wp:extent cx="375285" cy="326390"/>
                  <wp:effectExtent l="0" t="0" r="5715" b="0"/>
                  <wp:wrapSquare wrapText="bothSides"/>
                  <wp:docPr id="6" name="Obrázek 6" descr="C:\Users\ondrej.pieran\Desktop\Hrobčice\Změny\Final\warning_sign_bold_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C:\Users\ondrej.pieran\Desktop\Hrobčice\Změny\Final\warning_sign_bold_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0606" w:rsidRPr="00F77F7D">
              <w:rPr>
                <w:rStyle w:val="Siln"/>
                <w:b/>
              </w:rPr>
              <w:t>UPOZORNĚNÍ</w:t>
            </w:r>
          </w:p>
          <w:p w14:paraId="03EE31FD" w14:textId="2D316A33" w:rsidR="00C04C7F" w:rsidRPr="008D6944" w:rsidRDefault="00240606" w:rsidP="00BE1DF4">
            <w:pPr>
              <w:pStyle w:val="00text"/>
              <w:spacing w:after="80"/>
              <w:rPr>
                <w:rStyle w:val="Siln"/>
              </w:rPr>
            </w:pPr>
            <w:r w:rsidRPr="00F77F7D">
              <w:rPr>
                <w:rStyle w:val="Siln"/>
              </w:rPr>
              <w:t xml:space="preserve">Ukazatel SRI předpokládá, že si produkt ponecháte minimálně </w:t>
            </w:r>
            <w:r w:rsidR="000B080D">
              <w:rPr>
                <w:rStyle w:val="Siln"/>
              </w:rPr>
              <w:t>4</w:t>
            </w:r>
            <w:r w:rsidRPr="00F77F7D">
              <w:rPr>
                <w:rStyle w:val="Siln"/>
              </w:rPr>
              <w:t xml:space="preserve"> </w:t>
            </w:r>
            <w:r w:rsidR="000B080D">
              <w:rPr>
                <w:rStyle w:val="Siln"/>
              </w:rPr>
              <w:t>roky</w:t>
            </w:r>
            <w:r w:rsidRPr="00F77F7D">
              <w:rPr>
                <w:rStyle w:val="Siln"/>
              </w:rPr>
              <w:t>. Skutečné riziko se může podstatně lišit, pokud požádáte o odkup</w:t>
            </w:r>
            <w:r w:rsidR="00BE1DF4">
              <w:rPr>
                <w:rStyle w:val="Siln"/>
              </w:rPr>
              <w:t xml:space="preserve"> </w:t>
            </w:r>
            <w:r w:rsidRPr="00F77F7D">
              <w:rPr>
                <w:rStyle w:val="Siln"/>
              </w:rPr>
              <w:t xml:space="preserve">produktu předčasně. Můžete tak získat zpět méně.  </w:t>
            </w:r>
          </w:p>
        </w:tc>
      </w:tr>
      <w:tr w:rsidR="00240606" w:rsidRPr="00B83C8B" w14:paraId="42DFDDB4" w14:textId="77777777" w:rsidTr="00645DB3">
        <w:trPr>
          <w:trHeight w:val="56"/>
        </w:trPr>
        <w:tc>
          <w:tcPr>
            <w:tcW w:w="10485" w:type="dxa"/>
            <w:shd w:val="clear" w:color="auto" w:fill="0D2234"/>
            <w:vAlign w:val="center"/>
          </w:tcPr>
          <w:p w14:paraId="7C1B6ADF" w14:textId="42B2A3A5" w:rsidR="00240606" w:rsidRPr="003873FD" w:rsidRDefault="00240606" w:rsidP="008D6944">
            <w:pPr>
              <w:pStyle w:val="Popispole"/>
              <w:rPr>
                <w:rStyle w:val="Siln"/>
              </w:rPr>
            </w:pPr>
            <w:r w:rsidRPr="003873FD">
              <w:rPr>
                <w:rStyle w:val="Siln"/>
              </w:rPr>
              <w:t>SLOVNÍ POPIS SRI</w:t>
            </w:r>
          </w:p>
        </w:tc>
      </w:tr>
      <w:tr w:rsidR="00240606" w:rsidRPr="00B83C8B" w14:paraId="2955C8D6" w14:textId="77777777" w:rsidTr="00645DB3">
        <w:trPr>
          <w:cantSplit/>
          <w:trHeight w:val="912"/>
        </w:trPr>
        <w:tc>
          <w:tcPr>
            <w:tcW w:w="10485" w:type="dxa"/>
            <w:shd w:val="clear" w:color="auto" w:fill="F2F2F2" w:themeFill="background1" w:themeFillShade="F2"/>
          </w:tcPr>
          <w:p w14:paraId="519290F1" w14:textId="77777777" w:rsidR="00554031" w:rsidRDefault="00554031" w:rsidP="00015E56">
            <w:pPr>
              <w:pStyle w:val="00text"/>
              <w:spacing w:before="120"/>
              <w:rPr>
                <w:rStyle w:val="Siln"/>
              </w:rPr>
            </w:pPr>
            <w:r w:rsidRPr="006C4649">
              <w:rPr>
                <w:rStyle w:val="Siln"/>
              </w:rPr>
              <w:t xml:space="preserve">Souhrnný ukazatel rizik je vodítkem pro úroveň rizika tohoto produktu ve srovnání s jinými produkty. Ukazuje, jak je pravděpodobné, že produkt přijde </w:t>
            </w:r>
            <w:r w:rsidRPr="006C4649">
              <w:t>o peníze</w:t>
            </w:r>
            <w:r w:rsidRPr="006C4649">
              <w:rPr>
                <w:rStyle w:val="Siln"/>
              </w:rPr>
              <w:t xml:space="preserve"> v důsledku pohybů na trzích, nebo protože Vám nejsme schopni zaplatit.</w:t>
            </w:r>
            <w:r>
              <w:rPr>
                <w:rStyle w:val="Siln"/>
              </w:rPr>
              <w:br/>
            </w:r>
            <w:r w:rsidRPr="006C4649">
              <w:rPr>
                <w:rStyle w:val="Siln"/>
              </w:rPr>
              <w:t>Zařadili jsme tento produkt do třídy 6 ze 7, což je druhá nejvyšší třída rizik.</w:t>
            </w:r>
            <w:r>
              <w:rPr>
                <w:rStyle w:val="Siln"/>
              </w:rPr>
              <w:br/>
            </w:r>
            <w:r w:rsidRPr="006C4649">
              <w:rPr>
                <w:rStyle w:val="Siln"/>
              </w:rPr>
              <w:t>Tento produkt je do příslušné třídy rizik zařazen z důvodu absence relevantní řady historických dat, resp. absence srovnávacího ukazatele s vhodnými parametry. </w:t>
            </w:r>
          </w:p>
          <w:p w14:paraId="7ECF3FE5" w14:textId="77777777" w:rsidR="00554031" w:rsidRDefault="00554031" w:rsidP="00554031">
            <w:pPr>
              <w:pStyle w:val="00text"/>
              <w:rPr>
                <w:rStyle w:val="Siln"/>
              </w:rPr>
            </w:pPr>
            <w:r w:rsidRPr="005724E3">
              <w:rPr>
                <w:rStyle w:val="Siln"/>
              </w:rPr>
              <w:t xml:space="preserve">Pro výnos tohoto produktu jsou zásadní tržní rizika, zejména rizika vývoje cen na nemovitostním trhu v České republice a úrokové riziko. Některá podkladová aktiva mohou být rovněž vystavena měnovému riziku. </w:t>
            </w:r>
          </w:p>
          <w:p w14:paraId="303982A5" w14:textId="6FD325EE" w:rsidR="00E707EF" w:rsidRPr="001D5FCE" w:rsidRDefault="00554031" w:rsidP="00015E56">
            <w:pPr>
              <w:pStyle w:val="00text"/>
              <w:spacing w:after="120"/>
              <w:rPr>
                <w:rStyle w:val="Siln"/>
              </w:rPr>
            </w:pPr>
            <w:r w:rsidRPr="00F77F7D">
              <w:rPr>
                <w:rStyle w:val="Siln"/>
              </w:rPr>
              <w:t>Tento produkt nezahrnuje žádnou ochranu proti budoucí výkonnosti trhu, takže byste mohli přijít o část svých investic nebo o všechny.</w:t>
            </w:r>
            <w:r>
              <w:rPr>
                <w:rStyle w:val="Siln"/>
              </w:rPr>
              <w:br/>
            </w:r>
            <w:r w:rsidRPr="00F77F7D">
              <w:rPr>
                <w:rStyle w:val="Siln"/>
              </w:rPr>
              <w:t>Pokud nejsme schopni zaplatit Vám dlužnou částku, mohli</w:t>
            </w:r>
            <w:r w:rsidRPr="003873FD">
              <w:rPr>
                <w:rStyle w:val="Siln"/>
                <w:sz w:val="14"/>
              </w:rPr>
              <w:t xml:space="preserve"> </w:t>
            </w:r>
            <w:r w:rsidRPr="008174F6">
              <w:rPr>
                <w:rStyle w:val="Siln"/>
              </w:rPr>
              <w:t>byste přijít o veškeré své investice.</w:t>
            </w:r>
          </w:p>
        </w:tc>
      </w:tr>
      <w:tr w:rsidR="00240606" w:rsidRPr="00B83C8B" w14:paraId="79F51694" w14:textId="77777777" w:rsidTr="00645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10490" w:type="dxa"/>
            <w:shd w:val="clear" w:color="auto" w:fill="0D2234"/>
            <w:vAlign w:val="center"/>
          </w:tcPr>
          <w:p w14:paraId="207D1757" w14:textId="6385D893" w:rsidR="00240606" w:rsidRPr="003873FD" w:rsidRDefault="00C71AC1" w:rsidP="008D6944">
            <w:pPr>
              <w:pStyle w:val="Popispole"/>
              <w:rPr>
                <w:rStyle w:val="Siln"/>
              </w:rPr>
            </w:pPr>
            <w:r>
              <w:rPr>
                <w:rStyle w:val="Siln"/>
              </w:rPr>
              <w:t>S</w:t>
            </w:r>
            <w:r w:rsidR="00240606" w:rsidRPr="003873FD">
              <w:rPr>
                <w:rStyle w:val="Siln"/>
              </w:rPr>
              <w:t>CÉNÁŘ VÝKONNOSTI</w:t>
            </w:r>
          </w:p>
        </w:tc>
      </w:tr>
      <w:tr w:rsidR="00240606" w:rsidRPr="00B83C8B" w14:paraId="0F43E5C6" w14:textId="77777777" w:rsidTr="00C074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3A229CB2" w14:textId="52FE8D8A" w:rsidR="000075F8" w:rsidRDefault="00240606" w:rsidP="00015E56">
            <w:pPr>
              <w:pStyle w:val="00text"/>
              <w:spacing w:before="120"/>
              <w:rPr>
                <w:rStyle w:val="Siln"/>
              </w:rPr>
            </w:pPr>
            <w:r w:rsidRPr="003873FD">
              <w:rPr>
                <w:rStyle w:val="Siln"/>
              </w:rPr>
              <w:lastRenderedPageBreak/>
              <w:t>Tato tabulka uvádí, kolik byste mohli získat zpět za příští</w:t>
            </w:r>
            <w:r w:rsidR="005A4DBF">
              <w:rPr>
                <w:rStyle w:val="Siln"/>
              </w:rPr>
              <w:t>ch</w:t>
            </w:r>
            <w:r w:rsidR="00A41EB8">
              <w:rPr>
                <w:rStyle w:val="Siln"/>
              </w:rPr>
              <w:t xml:space="preserve"> </w:t>
            </w:r>
            <w:r w:rsidR="00B95ADA">
              <w:rPr>
                <w:rStyle w:val="Siln"/>
              </w:rPr>
              <w:t>4</w:t>
            </w:r>
            <w:r w:rsidR="00E707EF">
              <w:rPr>
                <w:rStyle w:val="Siln"/>
              </w:rPr>
              <w:t xml:space="preserve"> </w:t>
            </w:r>
            <w:r w:rsidR="00B95ADA">
              <w:rPr>
                <w:rStyle w:val="Siln"/>
              </w:rPr>
              <w:t>roky</w:t>
            </w:r>
            <w:r w:rsidRPr="003873FD">
              <w:rPr>
                <w:rStyle w:val="Siln"/>
              </w:rPr>
              <w:t xml:space="preserve"> podle různých scénářů za předpokladu, že investujete 2.000.000 Kč.</w:t>
            </w:r>
            <w:r w:rsidR="00645DB3">
              <w:rPr>
                <w:rStyle w:val="Siln"/>
              </w:rPr>
              <w:br/>
            </w:r>
            <w:r w:rsidRPr="003873FD">
              <w:rPr>
                <w:rStyle w:val="Siln"/>
              </w:rPr>
              <w:t>Uvedené scénáře ilustrují, jak by Vaše investice mohla fungovat. Můžete je porovnat se scénáři jiných produktů.</w:t>
            </w:r>
            <w:r w:rsidR="00645DB3">
              <w:rPr>
                <w:rStyle w:val="Siln"/>
              </w:rPr>
              <w:br/>
            </w:r>
            <w:r w:rsidRPr="003873FD">
              <w:rPr>
                <w:rStyle w:val="Siln"/>
              </w:rPr>
              <w:t>Prezentované scénáře jsou odhadem budoucí výkonnosti založen</w:t>
            </w:r>
            <w:r w:rsidR="00597207">
              <w:rPr>
                <w:rStyle w:val="Siln"/>
              </w:rPr>
              <w:t>é</w:t>
            </w:r>
            <w:r w:rsidRPr="003873FD">
              <w:rPr>
                <w:rStyle w:val="Siln"/>
              </w:rPr>
              <w:t xml:space="preserve"> na důkazech z minulosti o tom, jak variuje hodnota této investice, a nejsou přesným ukazatelem. Co získáte, se bude lišit v závislosti na tom, jak je trh výkonný a jak dlouho si investici/produkt ponecháte.</w:t>
            </w:r>
            <w:r w:rsidR="00645DB3">
              <w:rPr>
                <w:rStyle w:val="Siln"/>
              </w:rPr>
              <w:br/>
            </w:r>
            <w:r w:rsidRPr="003873FD">
              <w:rPr>
                <w:rStyle w:val="Siln"/>
              </w:rPr>
              <w:t>Stresový scénář ukazuje, co byste mohli získat zpět při mimořádných okolnostech na trhu, a nebere v potaz situaci, kdy Vám nejsme schopni zaplatit.</w:t>
            </w:r>
            <w:r w:rsidR="00645DB3">
              <w:rPr>
                <w:rStyle w:val="Siln"/>
              </w:rPr>
              <w:br/>
            </w:r>
            <w:r w:rsidRPr="003873FD">
              <w:rPr>
                <w:rStyle w:val="Siln"/>
              </w:rPr>
              <w:t>Uvedené údaje zahrnují veškeré náklady samotného produktu, ale nemusí zahrnovat veškeré náklady, které zaplatíte svému poradci nebo distributorovi. Údaje neberou v úvahu Vaši osobní daňovou</w:t>
            </w:r>
            <w:r w:rsidR="000075F8">
              <w:rPr>
                <w:rStyle w:val="Siln"/>
              </w:rPr>
              <w:t xml:space="preserve"> </w:t>
            </w:r>
            <w:r w:rsidRPr="003873FD">
              <w:rPr>
                <w:rStyle w:val="Siln"/>
              </w:rPr>
              <w:t>situaci, která může rovněž ovlivnit, kolik získáte zpět.</w:t>
            </w:r>
            <w:r w:rsidR="00645DB3">
              <w:rPr>
                <w:rStyle w:val="Siln"/>
              </w:rPr>
              <w:br/>
            </w:r>
            <w:r w:rsidRPr="003873FD">
              <w:rPr>
                <w:rStyle w:val="Siln"/>
              </w:rPr>
              <w:t>Tyto scénáře uvádějí, kolik byste mohli v závislosti na době držby produktu získat po úhradě nákladů</w:t>
            </w:r>
            <w:r w:rsidR="00E707EF">
              <w:rPr>
                <w:rStyle w:val="Siln"/>
              </w:rPr>
              <w:t>:</w:t>
            </w:r>
          </w:p>
          <w:p w14:paraId="6DCC441E" w14:textId="77777777" w:rsidR="000075F8" w:rsidRDefault="000075F8" w:rsidP="00015E56">
            <w:pPr>
              <w:pStyle w:val="00text"/>
              <w:spacing w:before="120"/>
              <w:rPr>
                <w:rStyle w:val="Siln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470"/>
              <w:gridCol w:w="2396"/>
              <w:gridCol w:w="1849"/>
              <w:gridCol w:w="1957"/>
              <w:gridCol w:w="1874"/>
            </w:tblGrid>
            <w:tr w:rsidR="000075F8" w:rsidRPr="008F3577" w14:paraId="61DECE21" w14:textId="77777777" w:rsidTr="00F0690A">
              <w:trPr>
                <w:trHeight w:val="228"/>
                <w:jc w:val="center"/>
              </w:trPr>
              <w:tc>
                <w:tcPr>
                  <w:tcW w:w="1470" w:type="dxa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7533B656" w14:textId="77777777" w:rsidR="000075F8" w:rsidRPr="003873FD" w:rsidRDefault="000075F8" w:rsidP="000075F8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3873FD">
                    <w:rPr>
                      <w:rStyle w:val="Siln"/>
                      <w:color w:val="FFFFFF" w:themeColor="background1"/>
                    </w:rPr>
                    <w:t>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5BE6E678" w14:textId="77777777" w:rsidR="000075F8" w:rsidRDefault="000075F8" w:rsidP="000075F8">
                  <w:pPr>
                    <w:rPr>
                      <w:rStyle w:val="Siln"/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84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442472B8" w14:textId="43B6C194" w:rsidR="000075F8" w:rsidRPr="003873FD" w:rsidRDefault="000075F8" w:rsidP="000075F8">
                  <w:pPr>
                    <w:pStyle w:val="00text"/>
                    <w:rPr>
                      <w:rStyle w:val="Siln"/>
                      <w:sz w:val="14"/>
                    </w:rPr>
                  </w:pPr>
                  <w:r w:rsidRPr="003873FD">
                    <w:rPr>
                      <w:rStyle w:val="Siln"/>
                      <w:sz w:val="14"/>
                    </w:rPr>
                    <w:t>Držení produktu 1 rok</w:t>
                  </w:r>
                </w:p>
              </w:tc>
              <w:tc>
                <w:tcPr>
                  <w:tcW w:w="19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4551D09D" w14:textId="77777777" w:rsidR="000075F8" w:rsidRPr="003873FD" w:rsidRDefault="000075F8" w:rsidP="000075F8">
                  <w:pPr>
                    <w:pStyle w:val="00text"/>
                    <w:rPr>
                      <w:rStyle w:val="Siln"/>
                      <w:sz w:val="14"/>
                    </w:rPr>
                  </w:pPr>
                  <w:r w:rsidRPr="003873FD">
                    <w:rPr>
                      <w:rStyle w:val="Siln"/>
                      <w:sz w:val="14"/>
                    </w:rPr>
                    <w:t xml:space="preserve">Držení produktu </w:t>
                  </w:r>
                  <w:r>
                    <w:rPr>
                      <w:rStyle w:val="Siln"/>
                      <w:sz w:val="14"/>
                    </w:rPr>
                    <w:t>2</w:t>
                  </w:r>
                  <w:r w:rsidRPr="003873FD">
                    <w:rPr>
                      <w:rStyle w:val="Siln"/>
                      <w:sz w:val="14"/>
                    </w:rPr>
                    <w:t xml:space="preserve"> roky</w:t>
                  </w:r>
                </w:p>
              </w:tc>
              <w:tc>
                <w:tcPr>
                  <w:tcW w:w="187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6EBCF3B8" w14:textId="77777777" w:rsidR="000075F8" w:rsidRPr="003873FD" w:rsidRDefault="000075F8" w:rsidP="000075F8">
                  <w:pPr>
                    <w:pStyle w:val="00text"/>
                    <w:rPr>
                      <w:rStyle w:val="Siln"/>
                      <w:sz w:val="14"/>
                    </w:rPr>
                  </w:pPr>
                  <w:r w:rsidRPr="003873FD">
                    <w:rPr>
                      <w:rStyle w:val="Siln"/>
                      <w:sz w:val="14"/>
                    </w:rPr>
                    <w:t xml:space="preserve">Držení produktu </w:t>
                  </w:r>
                  <w:r>
                    <w:rPr>
                      <w:rStyle w:val="Siln"/>
                      <w:sz w:val="14"/>
                    </w:rPr>
                    <w:t>4 roky</w:t>
                  </w:r>
                </w:p>
              </w:tc>
            </w:tr>
            <w:tr w:rsidR="00423237" w:rsidRPr="00F054A1" w14:paraId="3218BAEF" w14:textId="77777777" w:rsidTr="00A33EB6">
              <w:trPr>
                <w:trHeight w:val="331"/>
                <w:jc w:val="center"/>
              </w:trPr>
              <w:tc>
                <w:tcPr>
                  <w:tcW w:w="1470" w:type="dxa"/>
                  <w:vMerge w:val="restart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3B96C498" w14:textId="77777777" w:rsidR="00423237" w:rsidRPr="003873FD" w:rsidRDefault="00423237" w:rsidP="00423237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3873FD">
                    <w:rPr>
                      <w:rStyle w:val="Siln"/>
                      <w:color w:val="FFFFFF" w:themeColor="background1"/>
                    </w:rPr>
                    <w:t>Stresový 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200D7AF" w14:textId="77777777" w:rsidR="00423237" w:rsidRPr="003873FD" w:rsidRDefault="00423237" w:rsidP="00423237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3873FD">
                    <w:t>Kolik byste mohli získat zpět po úhradě nákladů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155F0D99" w14:textId="5E4F53EC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1 953 430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7A9962D2" w14:textId="301D5F85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2 070 928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697113FD" w14:textId="29965DF3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2 456 080</w:t>
                  </w:r>
                </w:p>
              </w:tc>
            </w:tr>
            <w:tr w:rsidR="00423237" w:rsidRPr="00F054A1" w14:paraId="2D862690" w14:textId="77777777" w:rsidTr="00A33EB6">
              <w:trPr>
                <w:trHeight w:val="331"/>
                <w:jc w:val="center"/>
              </w:trPr>
              <w:tc>
                <w:tcPr>
                  <w:tcW w:w="1470" w:type="dxa"/>
                  <w:vMerge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79C83D7C" w14:textId="77777777" w:rsidR="00423237" w:rsidRPr="003873FD" w:rsidRDefault="00423237" w:rsidP="00423237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11EBB603" w14:textId="77777777" w:rsidR="00423237" w:rsidRPr="003873FD" w:rsidRDefault="00423237" w:rsidP="00423237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3873FD">
                    <w:t>Průměrný výnos každý rok</w:t>
                  </w:r>
                </w:p>
              </w:tc>
              <w:tc>
                <w:tcPr>
                  <w:tcW w:w="1849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1AB23D3A" w14:textId="54603C44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-2,3 % </w:t>
                  </w:r>
                </w:p>
              </w:tc>
              <w:tc>
                <w:tcPr>
                  <w:tcW w:w="195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42E38D06" w14:textId="6E671DB3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1,8 % </w:t>
                  </w:r>
                </w:p>
              </w:tc>
              <w:tc>
                <w:tcPr>
                  <w:tcW w:w="187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2EA5E670" w14:textId="520AAE87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5,3 % </w:t>
                  </w:r>
                </w:p>
              </w:tc>
            </w:tr>
            <w:tr w:rsidR="00423237" w:rsidRPr="00F054A1" w14:paraId="7DB6A0E2" w14:textId="77777777" w:rsidTr="0027593D">
              <w:trPr>
                <w:trHeight w:val="331"/>
                <w:jc w:val="center"/>
              </w:trPr>
              <w:tc>
                <w:tcPr>
                  <w:tcW w:w="1470" w:type="dxa"/>
                  <w:vMerge w:val="restart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0E822DEB" w14:textId="77777777" w:rsidR="00423237" w:rsidRPr="003873FD" w:rsidRDefault="00423237" w:rsidP="00423237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3873FD">
                    <w:rPr>
                      <w:rStyle w:val="Siln"/>
                      <w:color w:val="FFFFFF" w:themeColor="background1"/>
                    </w:rPr>
                    <w:t>Nepříznivý 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33284E6A" w14:textId="77777777" w:rsidR="00423237" w:rsidRPr="003873FD" w:rsidRDefault="00423237" w:rsidP="00423237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3873FD">
                    <w:t>Kolik byste mohli získat zpět po úhradě nákladů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2C54FB45" w14:textId="7F4E22E6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1 953 430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533859D6" w14:textId="066E2948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2 070 928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33DB436E" w14:textId="67DEE86F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2 456 080</w:t>
                  </w:r>
                </w:p>
              </w:tc>
            </w:tr>
            <w:tr w:rsidR="00423237" w:rsidRPr="00F054A1" w14:paraId="1651D6F3" w14:textId="77777777" w:rsidTr="00A33EB6">
              <w:trPr>
                <w:trHeight w:val="331"/>
                <w:jc w:val="center"/>
              </w:trPr>
              <w:tc>
                <w:tcPr>
                  <w:tcW w:w="1470" w:type="dxa"/>
                  <w:vMerge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6246FAB5" w14:textId="77777777" w:rsidR="00423237" w:rsidRPr="003873FD" w:rsidRDefault="00423237" w:rsidP="00423237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580CCE4A" w14:textId="77777777" w:rsidR="00423237" w:rsidRPr="003873FD" w:rsidRDefault="00423237" w:rsidP="00423237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3873FD">
                    <w:t>Průměrný výnos každý rok</w:t>
                  </w:r>
                </w:p>
              </w:tc>
              <w:tc>
                <w:tcPr>
                  <w:tcW w:w="1849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7E52D33B" w14:textId="0FFE2895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-2,3 % </w:t>
                  </w:r>
                </w:p>
              </w:tc>
              <w:tc>
                <w:tcPr>
                  <w:tcW w:w="195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4A7E8348" w14:textId="36BA5F6D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1,8 % </w:t>
                  </w:r>
                </w:p>
              </w:tc>
              <w:tc>
                <w:tcPr>
                  <w:tcW w:w="187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727F3CF1" w14:textId="39E1931A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5,3 % </w:t>
                  </w:r>
                </w:p>
              </w:tc>
            </w:tr>
            <w:tr w:rsidR="00423237" w:rsidRPr="00F054A1" w14:paraId="77AC4565" w14:textId="77777777" w:rsidTr="0027593D">
              <w:trPr>
                <w:trHeight w:val="331"/>
                <w:jc w:val="center"/>
              </w:trPr>
              <w:tc>
                <w:tcPr>
                  <w:tcW w:w="1470" w:type="dxa"/>
                  <w:vMerge w:val="restart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5CAFE33F" w14:textId="77777777" w:rsidR="00423237" w:rsidRPr="003873FD" w:rsidRDefault="00423237" w:rsidP="00423237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3873FD">
                    <w:rPr>
                      <w:rStyle w:val="Siln"/>
                      <w:color w:val="FFFFFF" w:themeColor="background1"/>
                    </w:rPr>
                    <w:t>Umírněný 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62ADBFDA" w14:textId="77777777" w:rsidR="00423237" w:rsidRPr="003873FD" w:rsidRDefault="00423237" w:rsidP="00423237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3873FD">
                    <w:t>Kolik byste mohli získat zpět po úhradě nákladů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3EA5F17A" w14:textId="168380AD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2 031 430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7F2DA2A5" w14:textId="77309B5B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2 232 712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14C57F2B" w14:textId="025B5F70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2 840 780</w:t>
                  </w:r>
                </w:p>
              </w:tc>
            </w:tr>
            <w:tr w:rsidR="00423237" w:rsidRPr="00F054A1" w14:paraId="758E0BDD" w14:textId="77777777" w:rsidTr="00A33EB6">
              <w:trPr>
                <w:trHeight w:val="331"/>
                <w:jc w:val="center"/>
              </w:trPr>
              <w:tc>
                <w:tcPr>
                  <w:tcW w:w="1470" w:type="dxa"/>
                  <w:vMerge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26EF3D69" w14:textId="77777777" w:rsidR="00423237" w:rsidRPr="003873FD" w:rsidRDefault="00423237" w:rsidP="00423237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4313B997" w14:textId="77777777" w:rsidR="00423237" w:rsidRPr="003873FD" w:rsidRDefault="00423237" w:rsidP="00423237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3873FD">
                    <w:t>Průměrný výnos každý rok</w:t>
                  </w:r>
                </w:p>
              </w:tc>
              <w:tc>
                <w:tcPr>
                  <w:tcW w:w="1849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66C3A487" w14:textId="065C5110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1,6 % </w:t>
                  </w:r>
                </w:p>
              </w:tc>
              <w:tc>
                <w:tcPr>
                  <w:tcW w:w="195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7A8BC49A" w14:textId="43EB2B0D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5,7 % </w:t>
                  </w:r>
                </w:p>
              </w:tc>
              <w:tc>
                <w:tcPr>
                  <w:tcW w:w="187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5F0247EC" w14:textId="2A8A1556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9,2 % </w:t>
                  </w:r>
                </w:p>
              </w:tc>
            </w:tr>
            <w:tr w:rsidR="00423237" w:rsidRPr="00F054A1" w14:paraId="2E767A7E" w14:textId="77777777" w:rsidTr="0027593D">
              <w:trPr>
                <w:trHeight w:val="331"/>
                <w:jc w:val="center"/>
              </w:trPr>
              <w:tc>
                <w:tcPr>
                  <w:tcW w:w="1470" w:type="dxa"/>
                  <w:vMerge w:val="restart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656A0309" w14:textId="77777777" w:rsidR="00423237" w:rsidRPr="003873FD" w:rsidRDefault="00423237" w:rsidP="00423237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3873FD">
                    <w:rPr>
                      <w:rStyle w:val="Siln"/>
                      <w:color w:val="FFFFFF" w:themeColor="background1"/>
                    </w:rPr>
                    <w:t>Příznivý 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F0363E3" w14:textId="77777777" w:rsidR="00423237" w:rsidRPr="003873FD" w:rsidRDefault="00423237" w:rsidP="00423237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3873FD">
                    <w:t>Kolik byste mohli získat zpět po úhradě nákladů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301BB95B" w14:textId="4854BDF2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2 031 430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32A2B33F" w14:textId="2665E900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2 232 712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26C353E7" w14:textId="0BE10BCA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2 840 780</w:t>
                  </w:r>
                </w:p>
              </w:tc>
            </w:tr>
            <w:tr w:rsidR="00423237" w:rsidRPr="00F054A1" w14:paraId="75F4DE6E" w14:textId="77777777" w:rsidTr="00A33EB6">
              <w:trPr>
                <w:trHeight w:val="331"/>
                <w:jc w:val="center"/>
              </w:trPr>
              <w:tc>
                <w:tcPr>
                  <w:tcW w:w="1470" w:type="dxa"/>
                  <w:vMerge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124608BF" w14:textId="77777777" w:rsidR="00423237" w:rsidRPr="003873FD" w:rsidRDefault="00423237" w:rsidP="00423237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3CA3A1D" w14:textId="77777777" w:rsidR="00423237" w:rsidRPr="003873FD" w:rsidRDefault="00423237" w:rsidP="00423237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3873FD">
                    <w:t>Průměrný výnos každý rok</w:t>
                  </w:r>
                </w:p>
              </w:tc>
              <w:tc>
                <w:tcPr>
                  <w:tcW w:w="1849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20244341" w14:textId="07734FB8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1,6 % </w:t>
                  </w:r>
                </w:p>
              </w:tc>
              <w:tc>
                <w:tcPr>
                  <w:tcW w:w="195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2A34CA7D" w14:textId="60480175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5,7 % </w:t>
                  </w:r>
                </w:p>
              </w:tc>
              <w:tc>
                <w:tcPr>
                  <w:tcW w:w="187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4648E7E4" w14:textId="7B034176" w:rsidR="00423237" w:rsidRPr="003873FD" w:rsidRDefault="00423237" w:rsidP="00423237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9,2 % </w:t>
                  </w:r>
                </w:p>
              </w:tc>
            </w:tr>
          </w:tbl>
          <w:p w14:paraId="587EB072" w14:textId="2FFDBC35" w:rsidR="003873FD" w:rsidRPr="00403117" w:rsidRDefault="003873FD" w:rsidP="008D6944">
            <w:pPr>
              <w:rPr>
                <w:rStyle w:val="Siln"/>
                <w:rFonts w:ascii="Calibri" w:hAnsi="Calibri" w:cs="Calibri"/>
              </w:rPr>
            </w:pPr>
          </w:p>
        </w:tc>
      </w:tr>
    </w:tbl>
    <w:p w14:paraId="2F09034F" w14:textId="021E5CEB" w:rsidR="004E1477" w:rsidRPr="00D6570A" w:rsidRDefault="004E1477" w:rsidP="00645DB3">
      <w:pPr>
        <w:pStyle w:val="Popispole"/>
      </w:pPr>
    </w:p>
    <w:p w14:paraId="3AD2A709" w14:textId="25E70CA6" w:rsidR="00240606" w:rsidRPr="00F715FA" w:rsidRDefault="004E1477" w:rsidP="008D6944">
      <w:pPr>
        <w:pStyle w:val="03nadpissekce"/>
      </w:pPr>
      <w:r w:rsidRPr="002C298A">
        <w:t xml:space="preserve">Co se stane, když </w:t>
      </w:r>
      <w:r w:rsidRPr="003E622B">
        <w:t>fond</w:t>
      </w:r>
      <w:r>
        <w:t xml:space="preserve"> není schopen uskutečnit výplatu?</w:t>
      </w:r>
    </w:p>
    <w:tbl>
      <w:tblPr>
        <w:tblW w:w="10490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490"/>
      </w:tblGrid>
      <w:tr w:rsidR="00240606" w:rsidRPr="00B83C8B" w14:paraId="566DA182" w14:textId="77777777" w:rsidTr="00EF204F">
        <w:trPr>
          <w:trHeight w:val="56"/>
        </w:trPr>
        <w:tc>
          <w:tcPr>
            <w:tcW w:w="10490" w:type="dxa"/>
            <w:shd w:val="clear" w:color="auto" w:fill="0D2234"/>
            <w:vAlign w:val="center"/>
          </w:tcPr>
          <w:p w14:paraId="3E5ED066" w14:textId="77777777" w:rsidR="00240606" w:rsidRPr="004E1477" w:rsidRDefault="00240606" w:rsidP="008D6944">
            <w:pPr>
              <w:pStyle w:val="Popispole"/>
              <w:rPr>
                <w:rStyle w:val="Siln"/>
              </w:rPr>
            </w:pPr>
            <w:r w:rsidRPr="004E1477">
              <w:rPr>
                <w:rStyle w:val="Siln"/>
              </w:rPr>
              <w:t>NEEXISTENCE ZÁRUK A SYSTÉMŮ ODŠKODNĚNÍ PRO PRODUKT</w:t>
            </w:r>
          </w:p>
        </w:tc>
      </w:tr>
      <w:tr w:rsidR="00240606" w:rsidRPr="00B83C8B" w14:paraId="31141D0B" w14:textId="77777777" w:rsidTr="00EF204F">
        <w:trPr>
          <w:trHeight w:val="532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46D9EADE" w14:textId="77777777" w:rsidR="00240606" w:rsidRPr="00B4387F" w:rsidRDefault="00240606" w:rsidP="008D6944">
            <w:pPr>
              <w:pStyle w:val="00text"/>
              <w:rPr>
                <w:rStyle w:val="Siln"/>
              </w:rPr>
            </w:pPr>
            <w:r w:rsidRPr="00B4387F">
              <w:rPr>
                <w:rStyle w:val="Siln"/>
              </w:rPr>
              <w:t>Investor může čelit finanční ztrátě v důsledku selhání tvůrce produktu, přičemž na takovou ztrátu se nevztahuje systém odškodnění nebo záruk pro investory.</w:t>
            </w:r>
          </w:p>
        </w:tc>
      </w:tr>
    </w:tbl>
    <w:p w14:paraId="365E5920" w14:textId="1626E7A6" w:rsidR="004E1477" w:rsidRPr="00D6570A" w:rsidRDefault="004E1477" w:rsidP="00645DB3">
      <w:pPr>
        <w:pStyle w:val="Popispole"/>
      </w:pPr>
    </w:p>
    <w:p w14:paraId="6BAAF307" w14:textId="0C4F7D03" w:rsidR="00240606" w:rsidRDefault="00D63905" w:rsidP="008D6944">
      <w:pPr>
        <w:pStyle w:val="03nadpissekce"/>
      </w:pPr>
      <w:r w:rsidRPr="002C298A">
        <w:t>S jakým</w:t>
      </w:r>
      <w:r>
        <w:t>i náklady je investice spojena?</w:t>
      </w:r>
    </w:p>
    <w:tbl>
      <w:tblPr>
        <w:tblW w:w="1049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90"/>
      </w:tblGrid>
      <w:tr w:rsidR="00240606" w:rsidRPr="00B74F0E" w14:paraId="10441CCB" w14:textId="77777777" w:rsidTr="00EF204F">
        <w:trPr>
          <w:trHeight w:val="142"/>
        </w:trPr>
        <w:tc>
          <w:tcPr>
            <w:tcW w:w="10490" w:type="dxa"/>
            <w:shd w:val="clear" w:color="auto" w:fill="0D2234"/>
            <w:vAlign w:val="center"/>
          </w:tcPr>
          <w:p w14:paraId="183A510D" w14:textId="77777777" w:rsidR="00240606" w:rsidRPr="00D63905" w:rsidRDefault="00240606" w:rsidP="008D6944">
            <w:pPr>
              <w:pStyle w:val="Popispole"/>
            </w:pPr>
            <w:r w:rsidRPr="00D63905">
              <w:t>SOUHRNNÝ UKAZATEL NÁKLADŮ (RIY)</w:t>
            </w:r>
          </w:p>
        </w:tc>
      </w:tr>
      <w:tr w:rsidR="00240606" w:rsidRPr="00B74F0E" w14:paraId="33B28D8D" w14:textId="77777777" w:rsidTr="00EF204F">
        <w:trPr>
          <w:trHeight w:val="863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52B638EC" w14:textId="448E7519" w:rsidR="00240606" w:rsidRPr="00F77F7D" w:rsidRDefault="00240606" w:rsidP="00645DB3">
            <w:pPr>
              <w:pStyle w:val="00text"/>
            </w:pPr>
            <w:r w:rsidRPr="00F77F7D">
              <w:t>Snížení výnosu (RIY) ukazuje, jaký dopad budou mít celkové náklady, které platíte, na výnos investice, který byste mohli získat. Celkové náklady zohledňují jednorázové, průběžné a vedlejší náklady.</w:t>
            </w:r>
            <w:r w:rsidR="00645DB3">
              <w:br/>
            </w:r>
            <w:r w:rsidRPr="00F77F7D">
              <w:t>Zde uvedené náklady jsou kumulativní náklady produktu samotného po tři různé doby držení. Zahrnují možné srážky za předčasné ukončení. Údaje předpokládají, že investujete 2.000.000 Kč. Tyto údaje jsou odhady a mohou se v budoucnosti změnit.</w:t>
            </w:r>
          </w:p>
        </w:tc>
      </w:tr>
      <w:tr w:rsidR="00240606" w:rsidRPr="00B74F0E" w14:paraId="1D46A33F" w14:textId="77777777" w:rsidTr="00EF204F">
        <w:trPr>
          <w:trHeight w:val="142"/>
        </w:trPr>
        <w:tc>
          <w:tcPr>
            <w:tcW w:w="10490" w:type="dxa"/>
            <w:shd w:val="clear" w:color="auto" w:fill="0D2234"/>
          </w:tcPr>
          <w:p w14:paraId="63ED2F90" w14:textId="77777777" w:rsidR="00240606" w:rsidRPr="00B74F0E" w:rsidRDefault="00240606" w:rsidP="008D6944">
            <w:pPr>
              <w:pStyle w:val="Popispole"/>
              <w:rPr>
                <w:sz w:val="20"/>
              </w:rPr>
            </w:pPr>
            <w:r w:rsidRPr="00B74F0E">
              <w:t>NÁKLADY V ČASE</w:t>
            </w:r>
          </w:p>
        </w:tc>
      </w:tr>
      <w:tr w:rsidR="00240606" w:rsidRPr="00B74F0E" w14:paraId="6E590454" w14:textId="77777777" w:rsidTr="00EF204F">
        <w:trPr>
          <w:trHeight w:val="1714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02240A3B" w14:textId="054C8936" w:rsidR="00807215" w:rsidRDefault="00240606" w:rsidP="008D6944">
            <w:pPr>
              <w:pStyle w:val="00text"/>
            </w:pPr>
            <w:r w:rsidRPr="00F77F7D">
              <w:t xml:space="preserve">Osoba, která Vám tento produkt prodává nebo Vám o něm poskytuje poradenství, Vám může účtovat jiné náklady. Pokud ano, poskytne Vám tato osoba o těchto nákladech informace a objasní Vám dopad, který budou v čase </w:t>
            </w:r>
            <w:r w:rsidR="00597207">
              <w:t xml:space="preserve">mít </w:t>
            </w:r>
            <w:r w:rsidRPr="00F77F7D">
              <w:t>všechny náklady na Vaši investici.</w:t>
            </w:r>
          </w:p>
          <w:p w14:paraId="43A9EFD6" w14:textId="098CEA74" w:rsidR="00F77F7D" w:rsidRPr="00F77F7D" w:rsidRDefault="00F77F7D" w:rsidP="008D6944">
            <w:pPr>
              <w:pStyle w:val="00text"/>
              <w:rPr>
                <w:rFonts w:ascii="Calibri" w:hAnsi="Calibri" w:cs="Calibri"/>
                <w:szCs w:val="16"/>
              </w:rPr>
            </w:pPr>
            <w:r w:rsidRPr="00F77F7D">
              <w:t xml:space="preserve">  </w:t>
            </w:r>
          </w:p>
          <w:tbl>
            <w:tblPr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375"/>
              <w:gridCol w:w="2375"/>
              <w:gridCol w:w="2376"/>
              <w:gridCol w:w="2376"/>
            </w:tblGrid>
            <w:tr w:rsidR="00240606" w:rsidRPr="00B74F0E" w14:paraId="2E104539" w14:textId="77777777" w:rsidTr="00807215">
              <w:trPr>
                <w:trHeight w:val="284"/>
              </w:trPr>
              <w:tc>
                <w:tcPr>
                  <w:tcW w:w="2375" w:type="dxa"/>
                  <w:shd w:val="clear" w:color="auto" w:fill="FFFFFF" w:themeFill="background1"/>
                  <w:vAlign w:val="center"/>
                </w:tcPr>
                <w:p w14:paraId="7DC8F3BE" w14:textId="77777777" w:rsidR="00240606" w:rsidRPr="00B74F0E" w:rsidRDefault="00240606" w:rsidP="008D6944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74F0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Investice 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2</w:t>
                  </w:r>
                  <w:r w:rsidRPr="00B74F0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mil. Kč</w:t>
                  </w:r>
                </w:p>
              </w:tc>
              <w:tc>
                <w:tcPr>
                  <w:tcW w:w="2375" w:type="dxa"/>
                  <w:shd w:val="clear" w:color="auto" w:fill="FFFFFF" w:themeFill="background1"/>
                  <w:vAlign w:val="center"/>
                </w:tcPr>
                <w:p w14:paraId="213BC59F" w14:textId="7D3A4CC3" w:rsidR="00A77DAA" w:rsidRPr="00A77DAA" w:rsidRDefault="00240606" w:rsidP="008D6944">
                  <w:pPr>
                    <w:rPr>
                      <w:rFonts w:ascii="Calibri" w:hAnsi="Calibri" w:cs="Calibri"/>
                      <w:bCs/>
                      <w:sz w:val="14"/>
                      <w:szCs w:val="16"/>
                      <w:vertAlign w:val="superscript"/>
                    </w:rPr>
                  </w:pPr>
                  <w:r w:rsidRPr="00957DF7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Pokud požádáte o odkup po 1 roce</w:t>
                  </w:r>
                </w:p>
              </w:tc>
              <w:tc>
                <w:tcPr>
                  <w:tcW w:w="2376" w:type="dxa"/>
                  <w:shd w:val="clear" w:color="auto" w:fill="FFFFFF" w:themeFill="background1"/>
                  <w:vAlign w:val="center"/>
                </w:tcPr>
                <w:p w14:paraId="0D193982" w14:textId="55B14753" w:rsidR="00240606" w:rsidRPr="00957DF7" w:rsidRDefault="00240606" w:rsidP="008D6944">
                  <w:pPr>
                    <w:rPr>
                      <w:rFonts w:ascii="Calibri" w:hAnsi="Calibri" w:cs="Calibri"/>
                      <w:bCs/>
                      <w:sz w:val="14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Pokud požádáte o odkup po</w:t>
                  </w:r>
                  <w:r w:rsidR="000B29DA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 xml:space="preserve"> </w:t>
                  </w:r>
                  <w:r w:rsidR="00B95ADA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2</w:t>
                  </w:r>
                  <w:r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 xml:space="preserve"> </w:t>
                  </w:r>
                  <w:r w:rsidRPr="00957DF7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letech</w:t>
                  </w:r>
                </w:p>
              </w:tc>
              <w:tc>
                <w:tcPr>
                  <w:tcW w:w="2376" w:type="dxa"/>
                  <w:shd w:val="clear" w:color="auto" w:fill="FFFFFF" w:themeFill="background1"/>
                  <w:vAlign w:val="center"/>
                </w:tcPr>
                <w:p w14:paraId="1BBFF46A" w14:textId="5883528C" w:rsidR="00240606" w:rsidRPr="00957DF7" w:rsidRDefault="00240606" w:rsidP="008D6944">
                  <w:pPr>
                    <w:rPr>
                      <w:rFonts w:ascii="Calibri" w:hAnsi="Calibri" w:cs="Calibri"/>
                      <w:bCs/>
                      <w:sz w:val="14"/>
                      <w:szCs w:val="16"/>
                    </w:rPr>
                  </w:pPr>
                  <w:r w:rsidRPr="00957DF7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Pokud požádáte o odkup po</w:t>
                  </w:r>
                  <w:r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 xml:space="preserve"> </w:t>
                  </w:r>
                  <w:r w:rsidR="00B95ADA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4</w:t>
                  </w:r>
                  <w:r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 xml:space="preserve"> </w:t>
                  </w:r>
                  <w:r w:rsidRPr="00957DF7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letech</w:t>
                  </w:r>
                </w:p>
              </w:tc>
            </w:tr>
            <w:tr w:rsidR="00423237" w:rsidRPr="00B74F0E" w14:paraId="3E29E758" w14:textId="77777777" w:rsidTr="0016034A">
              <w:trPr>
                <w:trHeight w:val="284"/>
              </w:trPr>
              <w:tc>
                <w:tcPr>
                  <w:tcW w:w="2375" w:type="dxa"/>
                  <w:shd w:val="clear" w:color="auto" w:fill="FFFFFF" w:themeFill="background1"/>
                  <w:vAlign w:val="center"/>
                </w:tcPr>
                <w:p w14:paraId="413C76D2" w14:textId="77777777" w:rsidR="00423237" w:rsidRPr="00B74F0E" w:rsidRDefault="00423237" w:rsidP="00423237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74F0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Náklady celkem (Kč)</w:t>
                  </w:r>
                </w:p>
              </w:tc>
              <w:tc>
                <w:tcPr>
                  <w:tcW w:w="2375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47A72B55" w14:textId="0AF05C89" w:rsidR="00423237" w:rsidRDefault="00423237" w:rsidP="0042323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186 327</w:t>
                  </w:r>
                </w:p>
              </w:tc>
              <w:tc>
                <w:tcPr>
                  <w:tcW w:w="2376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73363BEF" w14:textId="1280B9B8" w:rsidR="00423237" w:rsidRDefault="00423237" w:rsidP="0042323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219 904</w:t>
                  </w:r>
                </w:p>
              </w:tc>
              <w:tc>
                <w:tcPr>
                  <w:tcW w:w="2376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02A63AC9" w14:textId="0A4344C6" w:rsidR="00423237" w:rsidRDefault="00423237" w:rsidP="0042323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162 824</w:t>
                  </w:r>
                </w:p>
              </w:tc>
            </w:tr>
            <w:tr w:rsidR="00423237" w:rsidRPr="00B74F0E" w14:paraId="6EF5DF45" w14:textId="77777777" w:rsidTr="0016034A">
              <w:trPr>
                <w:trHeight w:val="284"/>
              </w:trPr>
              <w:tc>
                <w:tcPr>
                  <w:tcW w:w="2375" w:type="dxa"/>
                  <w:shd w:val="clear" w:color="auto" w:fill="FFFFFF" w:themeFill="background1"/>
                  <w:vAlign w:val="center"/>
                </w:tcPr>
                <w:p w14:paraId="689CE8E5" w14:textId="77777777" w:rsidR="00423237" w:rsidRPr="00B74F0E" w:rsidRDefault="00423237" w:rsidP="00423237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74F0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Dopad na výnos (RIY) ročně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669F866F" w14:textId="39263CDE" w:rsidR="00423237" w:rsidRDefault="00423237" w:rsidP="0042323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9,3 % 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10F54A16" w14:textId="2D137836" w:rsidR="00423237" w:rsidRDefault="00423237" w:rsidP="0042323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5,1 % 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2D27E7D7" w14:textId="547BD790" w:rsidR="00423237" w:rsidRDefault="00423237" w:rsidP="00423237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1,6 % </w:t>
                  </w:r>
                </w:p>
              </w:tc>
            </w:tr>
          </w:tbl>
          <w:p w14:paraId="698354CC" w14:textId="77777777" w:rsidR="00240606" w:rsidRPr="00B74F0E" w:rsidRDefault="00240606" w:rsidP="008D694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4FE4F22F" w14:textId="372ED25B" w:rsidR="00A77DAA" w:rsidRDefault="00A77DAA" w:rsidP="008D6944">
      <w:pPr>
        <w:adjustRightInd/>
        <w:sectPr w:rsidR="00A77DAA" w:rsidSect="00645DB3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720" w:right="720" w:bottom="567" w:left="720" w:header="794" w:footer="1474" w:gutter="0"/>
          <w:cols w:space="708"/>
          <w:docGrid w:linePitch="360"/>
        </w:sectPr>
      </w:pPr>
    </w:p>
    <w:tbl>
      <w:tblPr>
        <w:tblW w:w="1049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90"/>
      </w:tblGrid>
      <w:tr w:rsidR="00240606" w:rsidRPr="00B74F0E" w14:paraId="12ECDC15" w14:textId="77777777" w:rsidTr="009A6E1D">
        <w:trPr>
          <w:trHeight w:val="62"/>
        </w:trPr>
        <w:tc>
          <w:tcPr>
            <w:tcW w:w="10490" w:type="dxa"/>
            <w:shd w:val="clear" w:color="auto" w:fill="0D2234"/>
          </w:tcPr>
          <w:p w14:paraId="6807EBC5" w14:textId="59BE8699" w:rsidR="00240606" w:rsidRPr="001D2324" w:rsidRDefault="00240606" w:rsidP="008D6944">
            <w:pPr>
              <w:pStyle w:val="Popispole"/>
            </w:pPr>
            <w:r w:rsidRPr="001D2324">
              <w:t>SKLADBA NÁKLADŮ</w:t>
            </w:r>
          </w:p>
        </w:tc>
      </w:tr>
      <w:tr w:rsidR="00240606" w:rsidRPr="00B74F0E" w14:paraId="44F95132" w14:textId="77777777" w:rsidTr="009A6E1D">
        <w:trPr>
          <w:trHeight w:val="3368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23C3BA3E" w14:textId="77777777" w:rsidR="00240606" w:rsidRPr="00FD6BB1" w:rsidRDefault="00240606" w:rsidP="00124E9D">
            <w:pPr>
              <w:pStyle w:val="00text"/>
            </w:pPr>
            <w:r w:rsidRPr="00FD6BB1">
              <w:t>Tabulka níže ukazuje:</w:t>
            </w:r>
          </w:p>
          <w:p w14:paraId="26CCA13C" w14:textId="089E2CAD" w:rsidR="00240606" w:rsidRPr="00FD6BB1" w:rsidRDefault="00240606" w:rsidP="008D6944">
            <w:pPr>
              <w:pStyle w:val="00text"/>
              <w:numPr>
                <w:ilvl w:val="0"/>
                <w:numId w:val="4"/>
              </w:numPr>
            </w:pPr>
            <w:r w:rsidRPr="00FD6BB1">
              <w:t>dopad každého roku různých typů nákladů na výnos investice, který byste mohli získat na konci doporučené doby držení</w:t>
            </w:r>
            <w:r w:rsidR="004A7F43">
              <w:t>;</w:t>
            </w:r>
          </w:p>
          <w:p w14:paraId="6BF1761E" w14:textId="12E68837" w:rsidR="00E1096B" w:rsidRPr="00E1096B" w:rsidRDefault="00240606" w:rsidP="008D6944">
            <w:pPr>
              <w:pStyle w:val="00text"/>
              <w:numPr>
                <w:ilvl w:val="0"/>
                <w:numId w:val="4"/>
              </w:numPr>
            </w:pPr>
            <w:r w:rsidRPr="00FD6BB1">
              <w:t>význam různých kategorií nákladů.</w:t>
            </w:r>
          </w:p>
          <w:tbl>
            <w:tblPr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590"/>
              <w:gridCol w:w="2410"/>
              <w:gridCol w:w="851"/>
              <w:gridCol w:w="5103"/>
            </w:tblGrid>
            <w:tr w:rsidR="00240606" w:rsidRPr="00FD6BB1" w14:paraId="0F3C1A3D" w14:textId="77777777" w:rsidTr="00A24EAB">
              <w:trPr>
                <w:trHeight w:val="309"/>
              </w:trPr>
              <w:tc>
                <w:tcPr>
                  <w:tcW w:w="9954" w:type="dxa"/>
                  <w:gridSpan w:val="4"/>
                  <w:shd w:val="clear" w:color="auto" w:fill="FFFFFF" w:themeFill="background1"/>
                  <w:vAlign w:val="center"/>
                </w:tcPr>
                <w:p w14:paraId="5604BFBA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Tato tabulka ukazuje dopad na výnos ročně</w:t>
                  </w:r>
                </w:p>
              </w:tc>
            </w:tr>
            <w:tr w:rsidR="00240606" w:rsidRPr="00FD6BB1" w14:paraId="61AAA9CB" w14:textId="77777777" w:rsidTr="00E1096B">
              <w:trPr>
                <w:trHeight w:val="642"/>
              </w:trPr>
              <w:tc>
                <w:tcPr>
                  <w:tcW w:w="1590" w:type="dxa"/>
                  <w:vMerge w:val="restart"/>
                  <w:shd w:val="clear" w:color="auto" w:fill="FFFFFF" w:themeFill="background1"/>
                  <w:vAlign w:val="center"/>
                </w:tcPr>
                <w:p w14:paraId="0FC75D92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Jednorázové náklady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6E5D617C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Náklady na vstup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F71BBC6" w14:textId="3E0D1ACB" w:rsidR="00240606" w:rsidRPr="00FD6BB1" w:rsidRDefault="00CF3530" w:rsidP="008D6944">
                  <w:pPr>
                    <w:pStyle w:val="00text"/>
                    <w:rPr>
                      <w:highlight w:val="yellow"/>
                    </w:rPr>
                  </w:pPr>
                  <w:r>
                    <w:t>0</w:t>
                  </w:r>
                  <w:r w:rsidR="00240606" w:rsidRPr="00FD6BB1">
                    <w:t>,</w:t>
                  </w:r>
                  <w:r w:rsidR="000B080D">
                    <w:t>8</w:t>
                  </w:r>
                  <w:r w:rsidR="00423237">
                    <w:t>3</w:t>
                  </w:r>
                  <w:r w:rsidR="0002330D">
                    <w:t xml:space="preserve"> </w:t>
                  </w:r>
                  <w:r w:rsidR="00240606" w:rsidRPr="00FD6BB1">
                    <w:t>%</w:t>
                  </w: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0A03CEB4" w14:textId="77777777" w:rsidR="007B3302" w:rsidRDefault="00240606" w:rsidP="008D6944">
                  <w:pPr>
                    <w:pStyle w:val="00text"/>
                  </w:pPr>
                  <w:r w:rsidRPr="00FD6BB1">
                    <w:t>Dopad nákladů, které platíte při vstupu do investování.</w:t>
                  </w:r>
                </w:p>
                <w:p w14:paraId="193D59CC" w14:textId="1B5E4182" w:rsidR="00240606" w:rsidRPr="00FD6BB1" w:rsidRDefault="00240606" w:rsidP="008D6944">
                  <w:pPr>
                    <w:pStyle w:val="00text"/>
                  </w:pPr>
                  <w:r w:rsidRPr="00FD6BB1">
                    <w:t>To je maximum, které zaplatíte, a mohli byste platit méně. Tato položka zahrnuje zejména náklady na distribuci produktu.</w:t>
                  </w:r>
                </w:p>
              </w:tc>
            </w:tr>
            <w:tr w:rsidR="00240606" w:rsidRPr="00FD6BB1" w14:paraId="22DE47E2" w14:textId="77777777" w:rsidTr="00E1096B">
              <w:trPr>
                <w:trHeight w:val="412"/>
              </w:trPr>
              <w:tc>
                <w:tcPr>
                  <w:tcW w:w="1590" w:type="dxa"/>
                  <w:vMerge/>
                  <w:shd w:val="clear" w:color="auto" w:fill="FFFFFF" w:themeFill="background1"/>
                  <w:vAlign w:val="center"/>
                </w:tcPr>
                <w:p w14:paraId="6B40C3E9" w14:textId="77777777" w:rsidR="00240606" w:rsidRPr="00FD6BB1" w:rsidRDefault="00240606" w:rsidP="008D6944">
                  <w:pPr>
                    <w:pStyle w:val="00text"/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2EA8A274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Náklady na výstup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166D09B2" w14:textId="77777777" w:rsidR="00240606" w:rsidRPr="00FD6BB1" w:rsidRDefault="00240606" w:rsidP="008D6944">
                  <w:pPr>
                    <w:pStyle w:val="00text"/>
                    <w:rPr>
                      <w:highlight w:val="yellow"/>
                    </w:rPr>
                  </w:pP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7019A510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Dopad nákladů na ukončení Vaší investice, když dosáhla doporučené doby držení.</w:t>
                  </w:r>
                </w:p>
              </w:tc>
            </w:tr>
            <w:tr w:rsidR="00240606" w:rsidRPr="00FD6BB1" w14:paraId="7BC1801F" w14:textId="77777777" w:rsidTr="00E1096B">
              <w:trPr>
                <w:trHeight w:val="264"/>
              </w:trPr>
              <w:tc>
                <w:tcPr>
                  <w:tcW w:w="1590" w:type="dxa"/>
                  <w:vMerge w:val="restart"/>
                  <w:shd w:val="clear" w:color="auto" w:fill="FFFFFF" w:themeFill="background1"/>
                  <w:vAlign w:val="center"/>
                </w:tcPr>
                <w:p w14:paraId="44786053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Průběžné náklady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591424F8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Transakční náklady portfolia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4DB2F9B" w14:textId="77777777" w:rsidR="00240606" w:rsidRPr="00FD6BB1" w:rsidRDefault="00240606" w:rsidP="008D6944">
                  <w:pPr>
                    <w:pStyle w:val="00text"/>
                    <w:rPr>
                      <w:highlight w:val="yellow"/>
                    </w:rPr>
                  </w:pP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17BE54A2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Dopad nákladů našich nákupů a prodejů podkladových investic na produkt.</w:t>
                  </w:r>
                </w:p>
              </w:tc>
            </w:tr>
            <w:tr w:rsidR="00240606" w:rsidRPr="00FD6BB1" w14:paraId="098A7EEF" w14:textId="77777777" w:rsidTr="00E1096B">
              <w:trPr>
                <w:trHeight w:val="264"/>
              </w:trPr>
              <w:tc>
                <w:tcPr>
                  <w:tcW w:w="1590" w:type="dxa"/>
                  <w:vMerge/>
                  <w:shd w:val="clear" w:color="auto" w:fill="FFFFFF" w:themeFill="background1"/>
                  <w:vAlign w:val="center"/>
                </w:tcPr>
                <w:p w14:paraId="495D2B15" w14:textId="77777777" w:rsidR="00240606" w:rsidRPr="00FD6BB1" w:rsidRDefault="00240606" w:rsidP="008D6944">
                  <w:pPr>
                    <w:pStyle w:val="00text"/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164AAE5B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Jiné průběžné náklady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A0F97D9" w14:textId="59521B32" w:rsidR="00240606" w:rsidRPr="000D16A4" w:rsidRDefault="009A283E" w:rsidP="008D6944">
                  <w:pPr>
                    <w:pStyle w:val="00text"/>
                    <w:rPr>
                      <w:highlight w:val="yellow"/>
                    </w:rPr>
                  </w:pPr>
                  <w:r>
                    <w:t>0</w:t>
                  </w:r>
                  <w:r w:rsidR="00240606" w:rsidRPr="000D16A4">
                    <w:t>,</w:t>
                  </w:r>
                  <w:r>
                    <w:t>72</w:t>
                  </w:r>
                  <w:r w:rsidR="008D6944" w:rsidRPr="000D16A4">
                    <w:t xml:space="preserve"> </w:t>
                  </w:r>
                  <w:r w:rsidR="00240606" w:rsidRPr="000D16A4">
                    <w:t>%</w:t>
                  </w: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534141EA" w14:textId="77777777" w:rsidR="00240606" w:rsidRPr="00FD6BB1" w:rsidRDefault="00240606" w:rsidP="008D6944">
                  <w:pPr>
                    <w:pStyle w:val="00text"/>
                  </w:pPr>
                  <w:r w:rsidRPr="00FD6BB1">
                    <w:t xml:space="preserve">Dopad nákladů, které každý rok vynakládáme na správu Vašich investic. </w:t>
                  </w:r>
                </w:p>
              </w:tc>
            </w:tr>
            <w:tr w:rsidR="00240606" w:rsidRPr="00FD6BB1" w14:paraId="3556DAE8" w14:textId="77777777" w:rsidTr="00E1096B">
              <w:trPr>
                <w:trHeight w:val="264"/>
              </w:trPr>
              <w:tc>
                <w:tcPr>
                  <w:tcW w:w="1590" w:type="dxa"/>
                  <w:vMerge w:val="restart"/>
                  <w:shd w:val="clear" w:color="auto" w:fill="FFFFFF" w:themeFill="background1"/>
                  <w:vAlign w:val="center"/>
                </w:tcPr>
                <w:p w14:paraId="213450E5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Vedlejší náklady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6F103243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Výkonnostní poplatky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B6522B5" w14:textId="77777777" w:rsidR="00240606" w:rsidRPr="00FD6BB1" w:rsidRDefault="00240606" w:rsidP="008D6944">
                  <w:pPr>
                    <w:pStyle w:val="00text"/>
                    <w:rPr>
                      <w:highlight w:val="yellow"/>
                    </w:rPr>
                  </w:pP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51F16906" w14:textId="77777777" w:rsidR="00240606" w:rsidRPr="00FD6BB1" w:rsidRDefault="00240606" w:rsidP="008D6944">
                  <w:pPr>
                    <w:pStyle w:val="00text"/>
                  </w:pPr>
                  <w:r w:rsidRPr="00FD6BB1">
                    <w:t xml:space="preserve">Dopad výkonnostního poplatku. </w:t>
                  </w:r>
                </w:p>
              </w:tc>
            </w:tr>
            <w:tr w:rsidR="00240606" w:rsidRPr="00FD6BB1" w14:paraId="4F765E43" w14:textId="77777777" w:rsidTr="00E1096B">
              <w:trPr>
                <w:trHeight w:val="264"/>
              </w:trPr>
              <w:tc>
                <w:tcPr>
                  <w:tcW w:w="1590" w:type="dxa"/>
                  <w:vMerge/>
                  <w:shd w:val="clear" w:color="auto" w:fill="FFFFFF" w:themeFill="background1"/>
                  <w:vAlign w:val="center"/>
                </w:tcPr>
                <w:p w14:paraId="6018B3F2" w14:textId="77777777" w:rsidR="00240606" w:rsidRPr="00FD6BB1" w:rsidRDefault="00240606" w:rsidP="008D6944">
                  <w:pPr>
                    <w:pStyle w:val="00text"/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2EBC3790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Odměny za zhodnocení kapitálu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5AC5154" w14:textId="77777777" w:rsidR="00240606" w:rsidRPr="00FD6BB1" w:rsidRDefault="00240606" w:rsidP="008D6944">
                  <w:pPr>
                    <w:pStyle w:val="00text"/>
                    <w:rPr>
                      <w:highlight w:val="yellow"/>
                    </w:rPr>
                  </w:pP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3EB8B7F7" w14:textId="77777777" w:rsidR="00240606" w:rsidRPr="00FD6BB1" w:rsidRDefault="00240606" w:rsidP="008D6944">
                  <w:pPr>
                    <w:pStyle w:val="00text"/>
                  </w:pPr>
                  <w:r w:rsidRPr="00FD6BB1">
                    <w:t xml:space="preserve">Dopad odměn za zhodnocení kapitálu. </w:t>
                  </w:r>
                </w:p>
              </w:tc>
            </w:tr>
          </w:tbl>
          <w:p w14:paraId="0B0B20E3" w14:textId="70A8953E" w:rsidR="00FD6BB1" w:rsidRPr="00B74F0E" w:rsidRDefault="00FD6BB1" w:rsidP="008D6944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</w:tbl>
    <w:p w14:paraId="21F5414C" w14:textId="48FBF966" w:rsidR="008D6944" w:rsidRDefault="008D6944">
      <w:pPr>
        <w:adjustRightInd/>
        <w:rPr>
          <w:sz w:val="10"/>
        </w:rPr>
      </w:pPr>
    </w:p>
    <w:p w14:paraId="0813AD57" w14:textId="41A17B29" w:rsidR="00E707EF" w:rsidRDefault="00E707EF" w:rsidP="004F6C00">
      <w:pPr>
        <w:pStyle w:val="03nadpissekce"/>
      </w:pPr>
    </w:p>
    <w:p w14:paraId="6AFE9E72" w14:textId="4511715A" w:rsidR="00806AD8" w:rsidRDefault="00806AD8" w:rsidP="004F6C00">
      <w:pPr>
        <w:pStyle w:val="03nadpissekce"/>
      </w:pPr>
    </w:p>
    <w:p w14:paraId="49365FF0" w14:textId="77777777" w:rsidR="00806AD8" w:rsidRDefault="00806AD8" w:rsidP="004F6C00">
      <w:pPr>
        <w:pStyle w:val="03nadpissekce"/>
      </w:pPr>
    </w:p>
    <w:p w14:paraId="2BACD5DD" w14:textId="084CDF00" w:rsidR="00240606" w:rsidRPr="00F715FA" w:rsidRDefault="00FD6BB1" w:rsidP="004F6C00">
      <w:pPr>
        <w:pStyle w:val="03nadpissekce"/>
      </w:pPr>
      <w:r w:rsidRPr="00AB20F7">
        <w:t>Jak dlouho bych měl investici držet? Mohu si peníze vybrat předčasně?</w:t>
      </w:r>
    </w:p>
    <w:tbl>
      <w:tblPr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240606" w:rsidRPr="000058C9" w14:paraId="1A8F0910" w14:textId="77777777" w:rsidTr="009A6E1D">
        <w:trPr>
          <w:trHeight w:val="47"/>
        </w:trPr>
        <w:tc>
          <w:tcPr>
            <w:tcW w:w="10485" w:type="dxa"/>
            <w:shd w:val="clear" w:color="auto" w:fill="0D2234"/>
            <w:vAlign w:val="center"/>
          </w:tcPr>
          <w:p w14:paraId="20954BF0" w14:textId="77777777" w:rsidR="00240606" w:rsidRPr="000058C9" w:rsidRDefault="00240606" w:rsidP="008D6944">
            <w:pPr>
              <w:pStyle w:val="Popispole"/>
              <w:rPr>
                <w:sz w:val="18"/>
              </w:rPr>
            </w:pPr>
            <w:r w:rsidRPr="000058C9">
              <w:t>DOPORUČENÁ DOBA DRŽENÍ</w:t>
            </w:r>
          </w:p>
        </w:tc>
      </w:tr>
      <w:tr w:rsidR="00240606" w:rsidRPr="000058C9" w14:paraId="7689E0E0" w14:textId="77777777" w:rsidTr="00CC3F69">
        <w:trPr>
          <w:trHeight w:val="1294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04B5FD46" w14:textId="0B20A6D1" w:rsidR="007E6210" w:rsidRPr="001D2324" w:rsidRDefault="00240606" w:rsidP="008D6944">
            <w:pPr>
              <w:pStyle w:val="00text"/>
            </w:pPr>
            <w:r w:rsidRPr="001D2324">
              <w:t xml:space="preserve">Investiční horizont: </w:t>
            </w:r>
            <w:r w:rsidR="005A4DBF">
              <w:t xml:space="preserve">minimálně </w:t>
            </w:r>
            <w:r w:rsidR="000B080D">
              <w:t>4</w:t>
            </w:r>
            <w:r w:rsidR="005A4DBF">
              <w:t xml:space="preserve"> </w:t>
            </w:r>
            <w:r w:rsidR="000B080D">
              <w:t>roky</w:t>
            </w:r>
          </w:p>
          <w:p w14:paraId="3A8BE8E1" w14:textId="7EAC6395" w:rsidR="00E860C3" w:rsidRDefault="008A7DE4" w:rsidP="008D6944">
            <w:pPr>
              <w:pStyle w:val="00text"/>
              <w:rPr>
                <w:rStyle w:val="Siln"/>
                <w:b/>
              </w:rPr>
            </w:pPr>
            <w:r w:rsidRPr="00A74716">
              <w:rPr>
                <w:rStyle w:val="Siln"/>
                <w:b/>
              </w:rPr>
              <w:t xml:space="preserve">Investorovi je doporučeno držet produkt po dobu </w:t>
            </w:r>
            <w:r>
              <w:rPr>
                <w:rStyle w:val="Siln"/>
                <w:b/>
              </w:rPr>
              <w:t>alespoň 4 let</w:t>
            </w:r>
            <w:r w:rsidRPr="00A74716">
              <w:rPr>
                <w:rStyle w:val="Siln"/>
                <w:b/>
              </w:rPr>
              <w:t>. Investiční horizont fondu byl stanoven s ohledem na předpokládaný vývoj na trhu nemovitostí. Předčasný odkup je spojen s dodatečnými náklady na likviditu na straně fondu, a proto je předčasný odkup zatížen srážkou. Výnosy spojené s vlastnictvím aktiv v portfoliu fondu nemusí být před okamžikem finálního prodeje portfolia dostatečně zohledněny v hodnotě investice pro účely předčasného odkupu.</w:t>
            </w:r>
          </w:p>
          <w:p w14:paraId="57A1D58A" w14:textId="28EDEE0E" w:rsidR="00240606" w:rsidRPr="00207FA7" w:rsidRDefault="00207FA7" w:rsidP="008D6944">
            <w:pPr>
              <w:pStyle w:val="00text"/>
              <w:rPr>
                <w:szCs w:val="16"/>
              </w:rPr>
            </w:pPr>
            <w:r w:rsidRPr="00207FA7">
              <w:rPr>
                <w:rStyle w:val="Siln"/>
                <w:bCs/>
              </w:rPr>
              <w:t xml:space="preserve">Předčasný odkup produktu může vynutit předčasné nebo nevýhodné zpeněžení aktiv </w:t>
            </w:r>
            <w:r w:rsidR="00156D65" w:rsidRPr="00015E56">
              <w:rPr>
                <w:rStyle w:val="Siln"/>
                <w:bCs/>
              </w:rPr>
              <w:t>fondu</w:t>
            </w:r>
            <w:r w:rsidRPr="00207FA7">
              <w:rPr>
                <w:rStyle w:val="Siln"/>
                <w:bCs/>
              </w:rPr>
              <w:t>, což se může nepříznivě projevit v hodnotě produktu.</w:t>
            </w:r>
          </w:p>
        </w:tc>
      </w:tr>
      <w:tr w:rsidR="00240606" w:rsidRPr="000058C9" w14:paraId="622EA156" w14:textId="77777777" w:rsidTr="009A6E1D">
        <w:trPr>
          <w:trHeight w:val="56"/>
        </w:trPr>
        <w:tc>
          <w:tcPr>
            <w:tcW w:w="10485" w:type="dxa"/>
            <w:shd w:val="clear" w:color="auto" w:fill="0D2234"/>
            <w:vAlign w:val="center"/>
          </w:tcPr>
          <w:p w14:paraId="2284F819" w14:textId="77777777" w:rsidR="00240606" w:rsidRPr="000058C9" w:rsidRDefault="00240606" w:rsidP="008D6944">
            <w:pPr>
              <w:pStyle w:val="Popispole"/>
            </w:pPr>
            <w:r w:rsidRPr="000058C9">
              <w:t>POSTUP ZRUŠENÍ INVESTICE A KDY JE ZRUŠENÍ INVESTICE MOŽNÉ</w:t>
            </w:r>
          </w:p>
        </w:tc>
      </w:tr>
      <w:tr w:rsidR="00240606" w:rsidRPr="000058C9" w14:paraId="2A23D843" w14:textId="77777777" w:rsidTr="009A6E1D"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31F03A4F" w14:textId="3A612A31" w:rsidR="00240606" w:rsidRPr="007E6210" w:rsidRDefault="00240606" w:rsidP="00015E56">
            <w:pPr>
              <w:pStyle w:val="00text"/>
              <w:spacing w:before="120"/>
            </w:pPr>
            <w:r w:rsidRPr="007E6210">
              <w:t>Podání písemné žádosti o odkup produktu doručené:</w:t>
            </w:r>
          </w:p>
          <w:p w14:paraId="6FD1E608" w14:textId="14AB0213" w:rsidR="00240606" w:rsidRPr="007E6210" w:rsidRDefault="00240606" w:rsidP="008D6944">
            <w:pPr>
              <w:pStyle w:val="00text"/>
              <w:numPr>
                <w:ilvl w:val="0"/>
                <w:numId w:val="5"/>
              </w:numPr>
            </w:pPr>
            <w:r w:rsidRPr="007E6210">
              <w:t xml:space="preserve">osobně v sídle administrátora: AVANT investiční společnost, a.s. </w:t>
            </w:r>
            <w:r w:rsidR="00443508" w:rsidRPr="00443508">
              <w:t>Hvězdova 1716/</w:t>
            </w:r>
            <w:proofErr w:type="gramStart"/>
            <w:r w:rsidR="00443508" w:rsidRPr="00443508">
              <w:t>2b</w:t>
            </w:r>
            <w:proofErr w:type="gramEnd"/>
            <w:r w:rsidR="00443508" w:rsidRPr="00443508">
              <w:t>, Nusle, 140 00 Praha 4</w:t>
            </w:r>
            <w:r w:rsidRPr="007E6210">
              <w:t xml:space="preserve">, v pracovní dny v době </w:t>
            </w:r>
            <w:r w:rsidR="006863FF" w:rsidRPr="007E6210">
              <w:t>9</w:t>
            </w:r>
            <w:r w:rsidR="006863FF">
              <w:t>–16</w:t>
            </w:r>
            <w:r w:rsidRPr="007E6210">
              <w:t xml:space="preserve"> hod;</w:t>
            </w:r>
          </w:p>
          <w:p w14:paraId="6272B69E" w14:textId="6C9BE33B" w:rsidR="00240606" w:rsidRPr="007E6210" w:rsidRDefault="00240606" w:rsidP="008D6944">
            <w:pPr>
              <w:pStyle w:val="00text"/>
              <w:numPr>
                <w:ilvl w:val="0"/>
                <w:numId w:val="5"/>
              </w:numPr>
            </w:pPr>
            <w:r w:rsidRPr="007E6210">
              <w:t xml:space="preserve">osobně zástupci investičního fondu nebo administrátora, v pracovní dny v době </w:t>
            </w:r>
            <w:r w:rsidR="006863FF" w:rsidRPr="007E6210">
              <w:t>9</w:t>
            </w:r>
            <w:r w:rsidR="006863FF">
              <w:t>–16</w:t>
            </w:r>
            <w:r w:rsidRPr="007E6210">
              <w:t xml:space="preserve"> hod;</w:t>
            </w:r>
          </w:p>
          <w:p w14:paraId="65D4B306" w14:textId="79F92AC6" w:rsidR="00240606" w:rsidRPr="007E6210" w:rsidRDefault="00240606" w:rsidP="008D6944">
            <w:pPr>
              <w:pStyle w:val="00text"/>
              <w:numPr>
                <w:ilvl w:val="0"/>
                <w:numId w:val="5"/>
              </w:numPr>
            </w:pPr>
            <w:r w:rsidRPr="007E6210">
              <w:t xml:space="preserve">poštou s úředně ověřeným podpisem na adresu administrátora: AVANT investiční společnost, a.s. </w:t>
            </w:r>
            <w:r w:rsidR="00443508" w:rsidRPr="00443508">
              <w:t>Hvězdova 1716/</w:t>
            </w:r>
            <w:proofErr w:type="gramStart"/>
            <w:r w:rsidR="00443508" w:rsidRPr="00443508">
              <w:t>2b</w:t>
            </w:r>
            <w:proofErr w:type="gramEnd"/>
            <w:r w:rsidR="00443508" w:rsidRPr="00443508">
              <w:t>, Nusle, 140 00 Praha 4</w:t>
            </w:r>
            <w:r w:rsidRPr="007E6210">
              <w:t>;</w:t>
            </w:r>
          </w:p>
          <w:p w14:paraId="03E76EA8" w14:textId="179FA595" w:rsidR="00240606" w:rsidRPr="007E6210" w:rsidRDefault="00240606" w:rsidP="008D6944">
            <w:pPr>
              <w:pStyle w:val="00text"/>
              <w:numPr>
                <w:ilvl w:val="0"/>
                <w:numId w:val="5"/>
              </w:numPr>
            </w:pPr>
            <w:r w:rsidRPr="007E6210">
              <w:t>dalšími způsoby upravenými statutem fondu.</w:t>
            </w:r>
          </w:p>
          <w:p w14:paraId="7423AEFC" w14:textId="77777777" w:rsidR="004E1243" w:rsidRDefault="004E1243" w:rsidP="004E1243">
            <w:pPr>
              <w:pStyle w:val="00text"/>
              <w:rPr>
                <w:rStyle w:val="Siln"/>
                <w:b/>
              </w:rPr>
            </w:pPr>
            <w:r w:rsidRPr="007E6210">
              <w:rPr>
                <w:rStyle w:val="Siln"/>
                <w:b/>
              </w:rPr>
              <w:t>Předčasný odkup produktu může mít následující důsledky na rizikově výnosový profil produktu</w:t>
            </w:r>
            <w:r>
              <w:rPr>
                <w:rStyle w:val="Siln"/>
                <w:b/>
              </w:rPr>
              <w:t>:</w:t>
            </w:r>
          </w:p>
          <w:p w14:paraId="17FCE1ED" w14:textId="77777777" w:rsidR="004E1243" w:rsidRPr="005724E3" w:rsidRDefault="004E1243" w:rsidP="004E1243">
            <w:pPr>
              <w:pStyle w:val="00text"/>
              <w:rPr>
                <w:rStyle w:val="Siln"/>
                <w:b/>
              </w:rPr>
            </w:pPr>
            <w:r w:rsidRPr="005724E3">
              <w:rPr>
                <w:rStyle w:val="Siln"/>
                <w:b/>
              </w:rPr>
              <w:t>Při odkupu v horizontu kratším než 36 měsíců od úpisu investičních akcií bude uplatněn výstupní poplatek, což může zapříčinit celkově nižší zhodnocení investice, než byla očekávání investora.</w:t>
            </w:r>
          </w:p>
          <w:p w14:paraId="5B73F59F" w14:textId="77777777" w:rsidR="004E1243" w:rsidRDefault="004E1243" w:rsidP="004E1243">
            <w:pPr>
              <w:pStyle w:val="00text"/>
            </w:pPr>
            <w:r>
              <w:t xml:space="preserve">Administrátor je povinen odkoupit produkt/investiční akcie od investorů: </w:t>
            </w:r>
          </w:p>
          <w:p w14:paraId="0AA2BB44" w14:textId="77777777" w:rsidR="004E1243" w:rsidRDefault="004E1243" w:rsidP="004E1243">
            <w:pPr>
              <w:pStyle w:val="00text"/>
              <w:numPr>
                <w:ilvl w:val="0"/>
                <w:numId w:val="13"/>
              </w:numPr>
            </w:pPr>
            <w:r>
              <w:t xml:space="preserve">ve lhůtě 90 dní ode dne, kdy investor předložil fondu žádost o odkoupení investičních akcií, pokud žádá o odkoupení investičních akcií v aktuální hodnotě maximálně </w:t>
            </w:r>
            <w:proofErr w:type="gramStart"/>
            <w:r>
              <w:t>10.000.000,-</w:t>
            </w:r>
            <w:proofErr w:type="gramEnd"/>
            <w:r>
              <w:t xml:space="preserve"> Kč;</w:t>
            </w:r>
          </w:p>
          <w:p w14:paraId="1FF6E5C3" w14:textId="77777777" w:rsidR="004E1243" w:rsidRPr="007E6210" w:rsidRDefault="004E1243" w:rsidP="004E1243">
            <w:pPr>
              <w:pStyle w:val="00text"/>
              <w:numPr>
                <w:ilvl w:val="0"/>
                <w:numId w:val="13"/>
              </w:numPr>
            </w:pPr>
            <w:r>
              <w:t xml:space="preserve">ve lhůtě 6 měsíců od dne, kdy investor předložil fondu žádost o odkoupení investičních akcií, pokud žádá o odkoupení investičních akcií v aktuální hodnotě vyšší než </w:t>
            </w:r>
            <w:proofErr w:type="gramStart"/>
            <w:r>
              <w:t>10.000.000,-</w:t>
            </w:r>
            <w:proofErr w:type="gramEnd"/>
            <w:r>
              <w:t xml:space="preserve"> Kč.</w:t>
            </w:r>
          </w:p>
          <w:p w14:paraId="4F73D79F" w14:textId="365ADD91" w:rsidR="00015E56" w:rsidRPr="000C4AE1" w:rsidRDefault="008A7DE4" w:rsidP="00015E56">
            <w:pPr>
              <w:pStyle w:val="00text"/>
              <w:spacing w:after="120"/>
            </w:pPr>
            <w:r w:rsidRPr="007E6210">
              <w:t>Produkt bude odkoupen za částku, která se rovná aktuální hodnotě investiční akcie pro den, ke kterému obdržel žádost o odkoupení investiční akcie</w:t>
            </w:r>
            <w:r>
              <w:t xml:space="preserve">, přičemž touto hodnotou se rozumí aktuální hodnota investiční akcie určená k poslednímu kalendářnímu dni měsíce, ve kterém byla administrátorovi doručena žádost o odkoupení investičních akcií. </w:t>
            </w:r>
            <w:r w:rsidRPr="00A74716">
              <w:t>Předčasný odkup produktu může mít následující důsledky na rizikově výnosový profil produktu: uplatnění výstupního poplatku (srážky) na odkupované investiční akcie.</w:t>
            </w:r>
          </w:p>
        </w:tc>
      </w:tr>
      <w:tr w:rsidR="00240606" w:rsidRPr="000058C9" w14:paraId="0B6932F1" w14:textId="77777777" w:rsidTr="009A6E1D">
        <w:trPr>
          <w:trHeight w:val="66"/>
        </w:trPr>
        <w:tc>
          <w:tcPr>
            <w:tcW w:w="10485" w:type="dxa"/>
            <w:shd w:val="clear" w:color="auto" w:fill="0D2234"/>
            <w:vAlign w:val="center"/>
          </w:tcPr>
          <w:p w14:paraId="3C2C5297" w14:textId="77777777" w:rsidR="00240606" w:rsidRPr="001D2324" w:rsidRDefault="00240606" w:rsidP="008D6944">
            <w:pPr>
              <w:pStyle w:val="Popispole"/>
            </w:pPr>
            <w:r w:rsidRPr="001D2324">
              <w:t>POPLATKY A POKUTY PŘI ODKUPU PRODUKTU</w:t>
            </w:r>
          </w:p>
        </w:tc>
      </w:tr>
      <w:tr w:rsidR="00240606" w:rsidRPr="000058C9" w14:paraId="189354F8" w14:textId="77777777" w:rsidTr="009A6E1D">
        <w:tblPrEx>
          <w:tblCellMar>
            <w:left w:w="70" w:type="dxa"/>
            <w:right w:w="70" w:type="dxa"/>
          </w:tblCellMar>
        </w:tblPrEx>
        <w:tc>
          <w:tcPr>
            <w:tcW w:w="10485" w:type="dxa"/>
            <w:shd w:val="clear" w:color="auto" w:fill="F2F2F2" w:themeFill="background1" w:themeFillShade="F2"/>
            <w:noWrap/>
            <w:vAlign w:val="center"/>
            <w:hideMark/>
          </w:tcPr>
          <w:p w14:paraId="71DB7FEA" w14:textId="77777777" w:rsidR="002F6154" w:rsidRPr="005A4DBF" w:rsidRDefault="002F6154" w:rsidP="002F6154">
            <w:pPr>
              <w:pStyle w:val="00text"/>
            </w:pPr>
            <w:r w:rsidRPr="005A4DBF">
              <w:t>Na odkupy investičních akcií se aplikuje výstupní poplatek ve výši:</w:t>
            </w:r>
          </w:p>
          <w:p w14:paraId="0CC725D4" w14:textId="77777777" w:rsidR="002F6154" w:rsidRDefault="002F6154" w:rsidP="002F6154">
            <w:pPr>
              <w:pStyle w:val="00text"/>
              <w:numPr>
                <w:ilvl w:val="0"/>
                <w:numId w:val="11"/>
              </w:numPr>
            </w:pPr>
            <w:r>
              <w:t>5 % z aktuální hodnoty akcií (produktu) při žádosti o odkup do 3 (tří) let od úpisu odkupovaných investičních akcií;</w:t>
            </w:r>
          </w:p>
          <w:p w14:paraId="48419F91" w14:textId="4F02E632" w:rsidR="00EF204F" w:rsidRPr="00207FA7" w:rsidRDefault="002F6154" w:rsidP="002F6154">
            <w:pPr>
              <w:pStyle w:val="00text"/>
              <w:numPr>
                <w:ilvl w:val="0"/>
                <w:numId w:val="11"/>
              </w:numPr>
            </w:pPr>
            <w:r>
              <w:t>0 % v ostatních případech</w:t>
            </w:r>
          </w:p>
        </w:tc>
      </w:tr>
    </w:tbl>
    <w:p w14:paraId="0ABE4134" w14:textId="77777777" w:rsidR="001D2324" w:rsidRDefault="001D2324" w:rsidP="008D6944">
      <w:pPr>
        <w:pStyle w:val="00text"/>
      </w:pPr>
    </w:p>
    <w:p w14:paraId="672F7905" w14:textId="70EAF353" w:rsidR="00240606" w:rsidRPr="00F715FA" w:rsidRDefault="007E6210" w:rsidP="008D6944">
      <w:pPr>
        <w:pStyle w:val="03nadpissekce"/>
      </w:pPr>
      <w:r w:rsidRPr="00AB20F7">
        <w:t>Jaký</w:t>
      </w:r>
      <w:r>
        <w:t>m způsobem mohu podat stížnost?</w:t>
      </w:r>
    </w:p>
    <w:tbl>
      <w:tblPr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240606" w:rsidRPr="00B83C8B" w14:paraId="4F166A49" w14:textId="77777777" w:rsidTr="009A6E1D">
        <w:trPr>
          <w:trHeight w:val="47"/>
        </w:trPr>
        <w:tc>
          <w:tcPr>
            <w:tcW w:w="10485" w:type="dxa"/>
            <w:shd w:val="clear" w:color="auto" w:fill="0D2234"/>
            <w:vAlign w:val="center"/>
          </w:tcPr>
          <w:p w14:paraId="2342A73C" w14:textId="64CA2EE7" w:rsidR="00240606" w:rsidRPr="002E5FD2" w:rsidRDefault="00240606" w:rsidP="008D6944">
            <w:pPr>
              <w:pStyle w:val="Popispole"/>
              <w:rPr>
                <w:rStyle w:val="Siln"/>
              </w:rPr>
            </w:pPr>
            <w:r w:rsidRPr="002E5FD2">
              <w:rPr>
                <w:rStyle w:val="Siln"/>
              </w:rPr>
              <w:t>PODÁN</w:t>
            </w:r>
            <w:r w:rsidR="007B3302">
              <w:rPr>
                <w:rStyle w:val="Siln"/>
              </w:rPr>
              <w:t>Í</w:t>
            </w:r>
            <w:r w:rsidRPr="002E5FD2">
              <w:rPr>
                <w:rStyle w:val="Siln"/>
              </w:rPr>
              <w:t xml:space="preserve"> STÍŽNOSTI</w:t>
            </w:r>
          </w:p>
        </w:tc>
      </w:tr>
      <w:tr w:rsidR="00240606" w:rsidRPr="00B83C8B" w14:paraId="308147F7" w14:textId="77777777" w:rsidTr="009A6E1D">
        <w:trPr>
          <w:trHeight w:val="1578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29F842EB" w14:textId="77777777" w:rsidR="00240606" w:rsidRPr="007E6210" w:rsidRDefault="00240606" w:rsidP="008D6944">
            <w:pPr>
              <w:pStyle w:val="00text"/>
              <w:rPr>
                <w:rStyle w:val="Siln"/>
              </w:rPr>
            </w:pPr>
            <w:r w:rsidRPr="007E6210">
              <w:rPr>
                <w:rStyle w:val="Siln"/>
              </w:rPr>
              <w:t>Stížnost ohledně produktu, jednání tvůrce produktu nebo distributora produktu, popř. poradce je nutné doručit písemně prostřednictvím administrátora:</w:t>
            </w:r>
          </w:p>
          <w:p w14:paraId="342C0764" w14:textId="4D01D2BC" w:rsidR="00240606" w:rsidRPr="007E6210" w:rsidRDefault="00240606" w:rsidP="008D6944">
            <w:pPr>
              <w:pStyle w:val="00text"/>
              <w:numPr>
                <w:ilvl w:val="0"/>
                <w:numId w:val="7"/>
              </w:numPr>
              <w:rPr>
                <w:rStyle w:val="Siln"/>
              </w:rPr>
            </w:pPr>
            <w:r w:rsidRPr="007E6210">
              <w:rPr>
                <w:rStyle w:val="Siln"/>
              </w:rPr>
              <w:t xml:space="preserve">osobně v sídle administrátora: AVANT investiční společnost, </w:t>
            </w:r>
            <w:r w:rsidR="0011229B" w:rsidRPr="007E6210">
              <w:t xml:space="preserve">a.s. </w:t>
            </w:r>
            <w:r w:rsidR="0011229B" w:rsidRPr="00443508">
              <w:t>Hvězdova 1716/</w:t>
            </w:r>
            <w:proofErr w:type="gramStart"/>
            <w:r w:rsidR="0011229B" w:rsidRPr="00443508">
              <w:t>2b</w:t>
            </w:r>
            <w:proofErr w:type="gramEnd"/>
            <w:r w:rsidR="0011229B" w:rsidRPr="00443508">
              <w:t>, Nusle, 140 00 Praha 4</w:t>
            </w:r>
            <w:r w:rsidRPr="007E6210">
              <w:rPr>
                <w:rStyle w:val="Siln"/>
              </w:rPr>
              <w:t xml:space="preserve">, v pracovní dny v době </w:t>
            </w:r>
            <w:r w:rsidR="006863FF" w:rsidRPr="007E6210">
              <w:rPr>
                <w:rStyle w:val="Siln"/>
              </w:rPr>
              <w:t>9</w:t>
            </w:r>
            <w:r w:rsidR="006863FF">
              <w:rPr>
                <w:rStyle w:val="Siln"/>
              </w:rPr>
              <w:t>–16</w:t>
            </w:r>
            <w:r w:rsidRPr="007E6210">
              <w:rPr>
                <w:rStyle w:val="Siln"/>
              </w:rPr>
              <w:t xml:space="preserve"> hod;</w:t>
            </w:r>
          </w:p>
          <w:p w14:paraId="18244EE3" w14:textId="5D8FFADE" w:rsidR="00240606" w:rsidRPr="007E6210" w:rsidRDefault="00240606" w:rsidP="008D6944">
            <w:pPr>
              <w:pStyle w:val="00text"/>
              <w:numPr>
                <w:ilvl w:val="0"/>
                <w:numId w:val="7"/>
              </w:numPr>
              <w:rPr>
                <w:rStyle w:val="Siln"/>
              </w:rPr>
            </w:pPr>
            <w:r w:rsidRPr="007E6210">
              <w:rPr>
                <w:rStyle w:val="Siln"/>
              </w:rPr>
              <w:t>poštou na adresu administrátora: AVANT investiční společnost,</w:t>
            </w:r>
            <w:r w:rsidR="0011229B" w:rsidRPr="007E6210">
              <w:t xml:space="preserve"> a.s. </w:t>
            </w:r>
            <w:r w:rsidR="0011229B" w:rsidRPr="00443508">
              <w:t>Hvězdova 1716/</w:t>
            </w:r>
            <w:proofErr w:type="gramStart"/>
            <w:r w:rsidR="0011229B" w:rsidRPr="00443508">
              <w:t>2b</w:t>
            </w:r>
            <w:proofErr w:type="gramEnd"/>
            <w:r w:rsidR="0011229B" w:rsidRPr="00443508">
              <w:t>, Nusle, 140 00 Praha 4</w:t>
            </w:r>
            <w:r w:rsidRPr="007E6210">
              <w:rPr>
                <w:rStyle w:val="Siln"/>
              </w:rPr>
              <w:t xml:space="preserve"> – </w:t>
            </w:r>
            <w:r w:rsidR="00DF4A6E">
              <w:rPr>
                <w:rStyle w:val="Siln"/>
              </w:rPr>
              <w:t>Nusle</w:t>
            </w:r>
            <w:r w:rsidRPr="007E6210">
              <w:rPr>
                <w:rStyle w:val="Siln"/>
              </w:rPr>
              <w:t>;</w:t>
            </w:r>
          </w:p>
          <w:p w14:paraId="43F31FD9" w14:textId="77777777" w:rsidR="00240606" w:rsidRPr="007E6210" w:rsidRDefault="00240606" w:rsidP="008D6944">
            <w:pPr>
              <w:pStyle w:val="00text"/>
              <w:numPr>
                <w:ilvl w:val="0"/>
                <w:numId w:val="7"/>
              </w:numPr>
              <w:rPr>
                <w:rStyle w:val="Siln"/>
              </w:rPr>
            </w:pPr>
            <w:r w:rsidRPr="007E6210">
              <w:rPr>
                <w:rStyle w:val="Siln"/>
              </w:rPr>
              <w:t>elektronickou poštou na adresu info@avantfunds.cz;</w:t>
            </w:r>
          </w:p>
          <w:p w14:paraId="6119A950" w14:textId="77777777" w:rsidR="00240606" w:rsidRPr="00EA7FB3" w:rsidRDefault="00240606" w:rsidP="008D6944">
            <w:pPr>
              <w:pStyle w:val="00text"/>
              <w:numPr>
                <w:ilvl w:val="0"/>
                <w:numId w:val="7"/>
              </w:numPr>
              <w:rPr>
                <w:rStyle w:val="Siln"/>
                <w:rFonts w:ascii="Calibri" w:hAnsi="Calibri" w:cs="Calibri"/>
              </w:rPr>
            </w:pPr>
            <w:r w:rsidRPr="007E6210">
              <w:rPr>
                <w:rStyle w:val="Siln"/>
              </w:rPr>
              <w:t>prostřednictvím formuláře na webové stránce avantfunds.cz.</w:t>
            </w:r>
          </w:p>
        </w:tc>
      </w:tr>
    </w:tbl>
    <w:p w14:paraId="4D75A5C8" w14:textId="77777777" w:rsidR="007E6210" w:rsidRPr="00D6570A" w:rsidRDefault="007E6210" w:rsidP="008D6944">
      <w:pPr>
        <w:pStyle w:val="00text"/>
      </w:pPr>
      <w:r w:rsidRPr="00D6570A">
        <w:t xml:space="preserve">  </w:t>
      </w:r>
    </w:p>
    <w:p w14:paraId="6AB2A9C4" w14:textId="0D714567" w:rsidR="00240606" w:rsidRPr="00F715FA" w:rsidRDefault="007E6210" w:rsidP="008D6944">
      <w:pPr>
        <w:pStyle w:val="03nadpissekce"/>
      </w:pPr>
      <w:r w:rsidRPr="00AB20F7">
        <w:t>Jiné relevantní informace</w:t>
      </w:r>
    </w:p>
    <w:tbl>
      <w:tblPr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240606" w:rsidRPr="00B83C8B" w14:paraId="05E34FC3" w14:textId="77777777" w:rsidTr="009A6E1D">
        <w:trPr>
          <w:trHeight w:val="47"/>
        </w:trPr>
        <w:tc>
          <w:tcPr>
            <w:tcW w:w="10485" w:type="dxa"/>
            <w:shd w:val="clear" w:color="auto" w:fill="0D2234"/>
            <w:vAlign w:val="center"/>
          </w:tcPr>
          <w:p w14:paraId="6327B8A4" w14:textId="1705F297" w:rsidR="00240606" w:rsidRPr="002E5FD2" w:rsidRDefault="00240606" w:rsidP="008D6944">
            <w:pPr>
              <w:pStyle w:val="Popispole"/>
              <w:rPr>
                <w:rStyle w:val="Siln"/>
              </w:rPr>
            </w:pPr>
            <w:r w:rsidRPr="002E5FD2">
              <w:rPr>
                <w:rStyle w:val="Siln"/>
              </w:rPr>
              <w:t>INFORMAČNÍ DOKUMENT</w:t>
            </w:r>
            <w:r w:rsidR="007B5592">
              <w:rPr>
                <w:rStyle w:val="Siln"/>
              </w:rPr>
              <w:t>Y</w:t>
            </w:r>
            <w:r w:rsidRPr="002E5FD2">
              <w:rPr>
                <w:rStyle w:val="Siln"/>
              </w:rPr>
              <w:t>, KTERÉ MAJÍ BÝT INVESTOROVI POSKYTNUTY V PŘEDSMLUVNÍ NEBO POSMLUVNÍ FÁZI</w:t>
            </w:r>
          </w:p>
        </w:tc>
      </w:tr>
      <w:tr w:rsidR="00240606" w:rsidRPr="00B83C8B" w14:paraId="6638D7B9" w14:textId="77777777" w:rsidTr="009A6E1D">
        <w:trPr>
          <w:trHeight w:val="1738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7C7799B1" w14:textId="77777777" w:rsidR="00240606" w:rsidRPr="002E5FD2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2E5FD2">
              <w:rPr>
                <w:rStyle w:val="Siln"/>
              </w:rPr>
              <w:t>Statut</w:t>
            </w:r>
          </w:p>
          <w:p w14:paraId="135021CD" w14:textId="77777777" w:rsidR="00240606" w:rsidRPr="002E5FD2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2E5FD2">
              <w:rPr>
                <w:rStyle w:val="Siln"/>
              </w:rPr>
              <w:t>Stanovy</w:t>
            </w:r>
          </w:p>
          <w:p w14:paraId="042D6AC0" w14:textId="77777777" w:rsidR="00240606" w:rsidRPr="002E5FD2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2E5FD2">
              <w:rPr>
                <w:rStyle w:val="Siln"/>
              </w:rPr>
              <w:t>Smlouva o úpisu cenných papírů</w:t>
            </w:r>
          </w:p>
          <w:p w14:paraId="5D6500D8" w14:textId="77777777" w:rsidR="00240606" w:rsidRPr="002E5FD2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2E5FD2">
              <w:rPr>
                <w:rStyle w:val="Siln"/>
              </w:rPr>
              <w:t>Identifikační a kontrolní dotazník</w:t>
            </w:r>
          </w:p>
          <w:p w14:paraId="06DE480C" w14:textId="77777777" w:rsidR="00240606" w:rsidRPr="002E5FD2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2E5FD2">
              <w:rPr>
                <w:rStyle w:val="Siln"/>
              </w:rPr>
              <w:t>Investiční dotazník pro vyhodnocení přijatelnosti</w:t>
            </w:r>
          </w:p>
          <w:p w14:paraId="187EA537" w14:textId="77777777" w:rsidR="00240606" w:rsidRPr="002E5FD2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2E5FD2">
              <w:rPr>
                <w:rStyle w:val="Siln"/>
              </w:rPr>
              <w:t>Čestné prohlášení investora do fondu kvalifikovaných investorů</w:t>
            </w:r>
          </w:p>
          <w:p w14:paraId="4D94F2F1" w14:textId="77777777" w:rsidR="00240606" w:rsidRPr="00B83C8B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  <w:rFonts w:ascii="Calibri" w:hAnsi="Calibri" w:cs="Calibri"/>
                <w:sz w:val="18"/>
                <w:szCs w:val="22"/>
              </w:rPr>
            </w:pPr>
            <w:r w:rsidRPr="002E5FD2">
              <w:rPr>
                <w:rStyle w:val="Siln"/>
              </w:rPr>
              <w:t>Prohlášení o daňové rezidenci</w:t>
            </w:r>
          </w:p>
        </w:tc>
      </w:tr>
    </w:tbl>
    <w:p w14:paraId="5279E826" w14:textId="3A705661" w:rsidR="0091770C" w:rsidRPr="00BD4795" w:rsidRDefault="0091770C" w:rsidP="008D6944">
      <w:pPr>
        <w:adjustRightInd/>
        <w:sectPr w:rsidR="0091770C" w:rsidRPr="00BD4795" w:rsidSect="00645DB3">
          <w:type w:val="continuous"/>
          <w:pgSz w:w="11906" w:h="16838" w:code="9"/>
          <w:pgMar w:top="720" w:right="720" w:bottom="567" w:left="720" w:header="907" w:footer="1474" w:gutter="0"/>
          <w:cols w:space="708"/>
          <w:docGrid w:linePitch="360"/>
        </w:sectPr>
      </w:pPr>
    </w:p>
    <w:p w14:paraId="0397CECB" w14:textId="141F9267" w:rsidR="005440DC" w:rsidRPr="00BD4795" w:rsidRDefault="005440DC" w:rsidP="008D6944">
      <w:pPr>
        <w:rPr>
          <w:sz w:val="16"/>
          <w:szCs w:val="16"/>
        </w:rPr>
      </w:pPr>
    </w:p>
    <w:sectPr w:rsidR="005440DC" w:rsidRPr="00BD4795" w:rsidSect="007E4591">
      <w:footerReference w:type="default" r:id="rId13"/>
      <w:type w:val="continuous"/>
      <w:pgSz w:w="11906" w:h="16838" w:code="9"/>
      <w:pgMar w:top="1843" w:right="1133" w:bottom="1134" w:left="1134" w:header="1474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B839" w14:textId="77777777" w:rsidR="00BA0852" w:rsidRDefault="00BA0852" w:rsidP="004721A6">
      <w:r>
        <w:separator/>
      </w:r>
    </w:p>
  </w:endnote>
  <w:endnote w:type="continuationSeparator" w:id="0">
    <w:p w14:paraId="7B40BDF6" w14:textId="77777777" w:rsidR="00BA0852" w:rsidRDefault="00BA0852" w:rsidP="0047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faRotisSemiSerifCE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FCE5" w14:textId="77777777" w:rsidR="00117B69" w:rsidRPr="00BE369D" w:rsidRDefault="000C3718" w:rsidP="00CD7B95">
    <w:pPr>
      <w:pStyle w:val="AVANT-Zpat"/>
      <w:rPr>
        <w:sz w:val="2"/>
        <w:szCs w:val="2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195AB1" wp14:editId="6FB8F7EA">
              <wp:simplePos x="0" y="0"/>
              <wp:positionH relativeFrom="page">
                <wp:posOffset>709295</wp:posOffset>
              </wp:positionH>
              <wp:positionV relativeFrom="page">
                <wp:posOffset>9919335</wp:posOffset>
              </wp:positionV>
              <wp:extent cx="5760085" cy="501650"/>
              <wp:effectExtent l="0" t="0" r="12065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73B64" w14:textId="77777777" w:rsidR="00117B69" w:rsidRPr="00EA42ED" w:rsidRDefault="00117B69" w:rsidP="00A5518B">
                          <w:pPr>
                            <w:pStyle w:val="AVANT-Zpat"/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</w:pP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AVANT investiční společnost, a. s. • </w:t>
                          </w:r>
                          <w:r w:rsidR="00647B81"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Rohanské nábřeží 671/15, Karlín, 186 00 Praha 8</w:t>
                          </w: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• Czech Republic</w:t>
                          </w: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br/>
                            <w:t>tel.: +420 267 997 769 • fax.: +420 296 566 455 • www.avantfunds.cz • info@avantfunds.cz</w:t>
                          </w: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br/>
                            <w:t>IČ</w:t>
                          </w:r>
                          <w:r w:rsidR="00647B81"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O</w:t>
                          </w: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: 275 90 241 • DIČ: CZ 275 90 241 • zapsáno v obchodním rejstříku vedeném Městským soudem v Praze, oddíl B, vložka 11040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95A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85pt;margin-top:781.05pt;width:453.5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" filled="f" stroked="f" strokeweight="0">
              <v:textbox inset="0,0,0,0">
                <w:txbxContent>
                  <w:p w14:paraId="53173B64" w14:textId="77777777" w:rsidR="00117B69" w:rsidRPr="00EA42ED" w:rsidRDefault="00117B69" w:rsidP="00A5518B">
                    <w:pPr>
                      <w:pStyle w:val="AVANT-Zpat"/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</w:pP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AVANT investiční společnost, a. s. • </w:t>
                    </w:r>
                    <w:r w:rsidR="00647B81"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Rohanské nábřeží 671/15, Karlín, 186 00 Praha 8</w:t>
                    </w: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• Czech Republic</w:t>
                    </w: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br/>
                      <w:t>tel.: +420 267 997 769 • fax.: +420 296 566 455 • www.avantfunds.cz • info@avantfunds.cz</w:t>
                    </w: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br/>
                      <w:t>IČ</w:t>
                    </w:r>
                    <w:r w:rsidR="00647B81"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O</w:t>
                    </w: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: 275 90 241 • DIČ: CZ 275 90 241 • zapsáno v obchodním rejstříku vedeném Městským soudem v Praze, oddíl B, vložka 11040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82E09E" w14:textId="77777777" w:rsidR="00117B69" w:rsidRPr="002C318F" w:rsidRDefault="000C3718" w:rsidP="004721A6">
    <w:pPr>
      <w:pStyle w:val="Zpat"/>
    </w:pPr>
    <w:r>
      <w:rPr>
        <w:noProof/>
        <w:lang w:val="cs-CZ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60BAE04" wp14:editId="291F9969">
              <wp:simplePos x="0" y="0"/>
              <wp:positionH relativeFrom="margin">
                <wp:align>center</wp:align>
              </wp:positionH>
              <wp:positionV relativeFrom="paragraph">
                <wp:posOffset>1183005</wp:posOffset>
              </wp:positionV>
              <wp:extent cx="819150" cy="232410"/>
              <wp:effectExtent l="0" t="0" r="19050" b="15240"/>
              <wp:wrapSquare wrapText="bothSides"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D84F9" w14:textId="77777777" w:rsidR="00DB3A12" w:rsidRPr="000E1423" w:rsidRDefault="00DB3A12" w:rsidP="004721A6">
                          <w:r w:rsidRPr="000E1423">
                            <w:t xml:space="preserve">Stránka </w:t>
                          </w:r>
                          <w:r w:rsidRPr="000E1423">
                            <w:fldChar w:fldCharType="begin"/>
                          </w:r>
                          <w:r w:rsidRPr="000E1423">
                            <w:instrText>PAGE  \* Arabic  \* MERGEFORMAT</w:instrText>
                          </w:r>
                          <w:r w:rsidRPr="000E1423">
                            <w:fldChar w:fldCharType="separate"/>
                          </w:r>
                          <w:r w:rsidR="00057309">
                            <w:rPr>
                              <w:noProof/>
                            </w:rPr>
                            <w:t>4</w:t>
                          </w:r>
                          <w:r w:rsidRPr="000E1423">
                            <w:fldChar w:fldCharType="end"/>
                          </w:r>
                          <w:r w:rsidRPr="000E1423">
                            <w:t xml:space="preserve"> z </w:t>
                          </w:r>
                          <w:r w:rsidR="0075256F">
                            <w:rPr>
                              <w:noProof/>
                            </w:rPr>
                            <w:fldChar w:fldCharType="begin"/>
                          </w:r>
                          <w:r w:rsidR="0075256F">
                            <w:rPr>
                              <w:noProof/>
                            </w:rPr>
                            <w:instrText>NUMPAGES  \* Arabic  \* MERGEFORMAT</w:instrText>
                          </w:r>
                          <w:r w:rsidR="0075256F">
                            <w:rPr>
                              <w:noProof/>
                            </w:rPr>
                            <w:fldChar w:fldCharType="separate"/>
                          </w:r>
                          <w:r w:rsidR="00CD7300">
                            <w:rPr>
                              <w:noProof/>
                            </w:rPr>
                            <w:t>3</w:t>
                          </w:r>
                          <w:r w:rsidR="0075256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BAE04" id="_x0000_s1028" type="#_x0000_t202" style="position:absolute;margin-left:0;margin-top:93.15pt;width:64.5pt;height:18.3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">
              <v:textbox>
                <w:txbxContent>
                  <w:p w14:paraId="7D4D84F9" w14:textId="77777777" w:rsidR="00DB3A12" w:rsidRPr="000E1423" w:rsidRDefault="00DB3A12" w:rsidP="004721A6">
                    <w:r w:rsidRPr="000E1423">
                      <w:t xml:space="preserve">Stránka </w:t>
                    </w:r>
                    <w:r w:rsidRPr="000E1423">
                      <w:fldChar w:fldCharType="begin"/>
                    </w:r>
                    <w:r w:rsidRPr="000E1423">
                      <w:instrText>PAGE  \* Arabic  \* MERGEFORMAT</w:instrText>
                    </w:r>
                    <w:r w:rsidRPr="000E1423">
                      <w:fldChar w:fldCharType="separate"/>
                    </w:r>
                    <w:r w:rsidR="00057309">
                      <w:rPr>
                        <w:noProof/>
                      </w:rPr>
                      <w:t>4</w:t>
                    </w:r>
                    <w:r w:rsidRPr="000E1423">
                      <w:fldChar w:fldCharType="end"/>
                    </w:r>
                    <w:r w:rsidRPr="000E1423">
                      <w:t xml:space="preserve"> z </w:t>
                    </w:r>
                    <w:r w:rsidR="0075256F">
                      <w:rPr>
                        <w:noProof/>
                      </w:rPr>
                      <w:fldChar w:fldCharType="begin"/>
                    </w:r>
                    <w:r w:rsidR="0075256F">
                      <w:rPr>
                        <w:noProof/>
                      </w:rPr>
                      <w:instrText>NUMPAGES  \* Arabic  \* MERGEFORMAT</w:instrText>
                    </w:r>
                    <w:r w:rsidR="0075256F">
                      <w:rPr>
                        <w:noProof/>
                      </w:rPr>
                      <w:fldChar w:fldCharType="separate"/>
                    </w:r>
                    <w:r w:rsidR="00CD7300">
                      <w:rPr>
                        <w:noProof/>
                      </w:rPr>
                      <w:t>3</w:t>
                    </w:r>
                    <w:r w:rsidR="0075256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D0F56" wp14:editId="735226F0">
              <wp:simplePos x="0" y="0"/>
              <wp:positionH relativeFrom="column">
                <wp:posOffset>-953770</wp:posOffset>
              </wp:positionH>
              <wp:positionV relativeFrom="paragraph">
                <wp:posOffset>567055</wp:posOffset>
              </wp:positionV>
              <wp:extent cx="9441180" cy="999490"/>
              <wp:effectExtent l="19050" t="19050" r="45720" b="4826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1180" cy="999490"/>
                      </a:xfrm>
                      <a:prstGeom prst="rect">
                        <a:avLst/>
                      </a:prstGeom>
                      <a:solidFill>
                        <a:srgbClr val="272727"/>
                      </a:solidFill>
                      <a:ln w="38100">
                        <a:solidFill>
                          <a:srgbClr val="272727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D15DB73" id="Rectangle 4" o:spid="_x0000_s1026" style="position:absolute;margin-left:-75.1pt;margin-top:44.65pt;width:743.4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" fillcolor="#272727" strokecolor="#272727" strokeweight="3pt">
              <v:shadow on="t" color="#7f7f7f" opacity=".5" offset="1p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7B37" w14:textId="445AC457" w:rsidR="00117B69" w:rsidRPr="00BE369D" w:rsidRDefault="005C76C6" w:rsidP="00CD7B95">
    <w:pPr>
      <w:pStyle w:val="AVANT-Zpat"/>
      <w:rPr>
        <w:sz w:val="2"/>
        <w:szCs w:val="2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1ACB714" wp14:editId="6B2C3B70">
              <wp:simplePos x="0" y="0"/>
              <wp:positionH relativeFrom="column">
                <wp:posOffset>-978913</wp:posOffset>
              </wp:positionH>
              <wp:positionV relativeFrom="paragraph">
                <wp:posOffset>-2895</wp:posOffset>
              </wp:positionV>
              <wp:extent cx="9442450" cy="987328"/>
              <wp:effectExtent l="0" t="0" r="25400" b="4191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0" cy="987328"/>
                      </a:xfrm>
                      <a:prstGeom prst="rect">
                        <a:avLst/>
                      </a:prstGeom>
                      <a:solidFill>
                        <a:srgbClr val="0D2234"/>
                      </a:solidFill>
                      <a:ln w="38100">
                        <a:noFill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83E0BA" id="Rectangle 4" o:spid="_x0000_s1026" style="position:absolute;margin-left:-77.1pt;margin-top:-.25pt;width:743.5pt;height:7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" fillcolor="#0d2234" stroked="f" strokeweight="3pt">
              <v:shadow on="t" color="#7f7f7f" opacity=".5" offset="1pt"/>
            </v:rect>
          </w:pict>
        </mc:Fallback>
      </mc:AlternateContent>
    </w:r>
    <w:r w:rsidR="00C04C7F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4C01DB" wp14:editId="6B7B0043">
              <wp:simplePos x="0" y="0"/>
              <wp:positionH relativeFrom="margin">
                <wp:posOffset>9525</wp:posOffset>
              </wp:positionH>
              <wp:positionV relativeFrom="page">
                <wp:posOffset>9793396</wp:posOffset>
              </wp:positionV>
              <wp:extent cx="5949950" cy="647700"/>
              <wp:effectExtent l="0" t="0" r="1270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FDAE3" w14:textId="11B35933" w:rsidR="00117B69" w:rsidRPr="009F6F66" w:rsidRDefault="00117B69" w:rsidP="009F6F66">
                          <w:pPr>
                            <w:pStyle w:val="AVANT-Zpat"/>
                            <w:spacing w:line="360" w:lineRule="auto"/>
                            <w:rPr>
                              <w:rFonts w:ascii="Arial" w:hAnsi="Arial" w:cs="Arial"/>
                              <w:color w:val="D0CECE" w:themeColor="background2" w:themeShade="E6"/>
                              <w:sz w:val="16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cs-CZ"/>
                            </w:rPr>
                            <w:t>AVANT investiční společnost, a.s.</w:t>
                          </w:r>
                          <w:r w:rsidRPr="009F6F66">
                            <w:rPr>
                              <w:rFonts w:ascii="Arial" w:hAnsi="Arial" w:cs="Arial"/>
                              <w:sz w:val="20"/>
                              <w:szCs w:val="16"/>
                              <w:lang w:val="cs-CZ"/>
                            </w:rPr>
                            <w:t xml:space="preserve"> </w:t>
                          </w:r>
                          <w:r w:rsidR="002346A7">
                            <w:rPr>
                              <w:rFonts w:ascii="Arial" w:hAnsi="Arial" w:cs="Arial"/>
                              <w:sz w:val="16"/>
                              <w:szCs w:val="16"/>
                              <w:lang w:val="cs-CZ"/>
                            </w:rPr>
                            <w:br/>
                          </w:r>
                          <w:r w:rsidR="00FD202C" w:rsidRPr="00FD202C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CITY TOWER Hvězdova 1716/</w:t>
                          </w:r>
                          <w:proofErr w:type="gramStart"/>
                          <w:r w:rsidR="00FD202C" w:rsidRPr="00FD202C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2b</w:t>
                          </w:r>
                          <w:proofErr w:type="gramEnd"/>
                          <w:r w:rsidR="00FD202C" w:rsidRPr="00FD202C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, 140 00 Praha 4</w:t>
                          </w:r>
                          <w:r w:rsidR="00FD202C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• Czech Republic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>tel.: +420 267 997 7</w:t>
                          </w:r>
                          <w:r w:rsidR="00E96695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95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 xml:space="preserve"> • www.avantfunds.cz • info@avantfunds.cz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>IČ</w:t>
                          </w:r>
                          <w:r w:rsidR="00647B81"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O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: 275 90 241 • DIČ: CZ 275 90 241</w:t>
                          </w:r>
                          <w:r w:rsidR="00C04C7F"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 xml:space="preserve"> • 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zapsán</w:t>
                          </w:r>
                          <w:r w:rsidR="00597207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a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 xml:space="preserve"> v obchodním rejstříku vedeném Městským soudem v Praze, oddíl B, vložka 11040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C01D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.75pt;margin-top:771.15pt;width:468.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" filled="f" stroked="f" strokeweight="0">
              <v:textbox inset="0,0,0,0">
                <w:txbxContent>
                  <w:p w14:paraId="0C4FDAE3" w14:textId="11B35933" w:rsidR="00117B69" w:rsidRPr="009F6F66" w:rsidRDefault="00117B69" w:rsidP="009F6F66">
                    <w:pPr>
                      <w:pStyle w:val="AVANT-Zpat"/>
                      <w:spacing w:line="360" w:lineRule="auto"/>
                      <w:rPr>
                        <w:rFonts w:ascii="Arial" w:hAnsi="Arial" w:cs="Arial"/>
                        <w:color w:val="D0CECE" w:themeColor="background2" w:themeShade="E6"/>
                        <w:sz w:val="16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b/>
                        <w:sz w:val="20"/>
                        <w:szCs w:val="16"/>
                        <w:lang w:val="cs-CZ"/>
                      </w:rPr>
                      <w:t>AVANT investiční společnost, a.s.</w:t>
                    </w:r>
                    <w:r w:rsidRPr="009F6F66">
                      <w:rPr>
                        <w:rFonts w:ascii="Arial" w:hAnsi="Arial" w:cs="Arial"/>
                        <w:sz w:val="20"/>
                        <w:szCs w:val="16"/>
                        <w:lang w:val="cs-CZ"/>
                      </w:rPr>
                      <w:t xml:space="preserve"> </w:t>
                    </w:r>
                    <w:r w:rsidR="002346A7">
                      <w:rPr>
                        <w:rFonts w:ascii="Arial" w:hAnsi="Arial" w:cs="Arial"/>
                        <w:sz w:val="16"/>
                        <w:szCs w:val="16"/>
                        <w:lang w:val="cs-CZ"/>
                      </w:rPr>
                      <w:br/>
                    </w:r>
                    <w:r w:rsidR="00FD202C" w:rsidRPr="00FD202C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CITY TOWER Hvězdova 1716/</w:t>
                    </w:r>
                    <w:proofErr w:type="gramStart"/>
                    <w:r w:rsidR="00FD202C" w:rsidRPr="00FD202C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2b</w:t>
                    </w:r>
                    <w:proofErr w:type="gramEnd"/>
                    <w:r w:rsidR="00FD202C" w:rsidRPr="00FD202C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, 140 00 Praha 4</w:t>
                    </w:r>
                    <w:r w:rsidR="00FD202C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• Czech Republic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>tel.: +420 267 997 7</w:t>
                    </w:r>
                    <w:r w:rsidR="00E96695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95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 xml:space="preserve"> • www.avantfunds.cz • info@avantfunds.cz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>IČ</w:t>
                    </w:r>
                    <w:r w:rsidR="00647B81"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O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: 275 90 241 • DIČ: CZ 275 90 241</w:t>
                    </w:r>
                    <w:r w:rsidR="00C04C7F"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 xml:space="preserve"> • 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zapsán</w:t>
                    </w:r>
                    <w:r w:rsidR="00597207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a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 xml:space="preserve"> v obchodním rejstříku vedeném Městským soudem v Praze, oddíl B, vložka 11040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04C7F"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7495B46" wp14:editId="4B1A41D7">
              <wp:simplePos x="0" y="0"/>
              <wp:positionH relativeFrom="margin">
                <wp:posOffset>5892165</wp:posOffset>
              </wp:positionH>
              <wp:positionV relativeFrom="paragraph">
                <wp:posOffset>490855</wp:posOffset>
              </wp:positionV>
              <wp:extent cx="615950" cy="2476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AC349" w14:textId="48E55ABC" w:rsidR="00DB3A12" w:rsidRPr="009F6F66" w:rsidRDefault="00DB3A12" w:rsidP="00C56CE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begin"/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instrText>PAGE  \* Arabic  \* MERGEFORMAT</w:instrText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separate"/>
                          </w:r>
                          <w:r w:rsidR="007B5592">
                            <w:rPr>
                              <w:b/>
                              <w:noProof/>
                              <w:color w:val="FFFFFF" w:themeColor="background1"/>
                              <w:sz w:val="24"/>
                            </w:rPr>
                            <w:t>3</w:t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495B46" id="_x0000_s1030" type="#_x0000_t202" style="position:absolute;margin-left:463.95pt;margin-top:38.65pt;width:48.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" filled="f" stroked="f">
              <v:textbox>
                <w:txbxContent>
                  <w:p w14:paraId="0BBAC349" w14:textId="48E55ABC" w:rsidR="00DB3A12" w:rsidRPr="009F6F66" w:rsidRDefault="00DB3A12" w:rsidP="00C56CEA">
                    <w:pPr>
                      <w:jc w:val="right"/>
                      <w:rPr>
                        <w:b/>
                        <w:color w:val="FFFFFF" w:themeColor="background1"/>
                        <w:sz w:val="24"/>
                      </w:rPr>
                    </w:pP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begin"/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instrText>PAGE  \* Arabic  \* MERGEFORMAT</w:instrText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separate"/>
                    </w:r>
                    <w:r w:rsidR="007B5592">
                      <w:rPr>
                        <w:b/>
                        <w:noProof/>
                        <w:color w:val="FFFFFF" w:themeColor="background1"/>
                        <w:sz w:val="24"/>
                      </w:rPr>
                      <w:t>3</w:t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7E6E" w14:textId="77777777" w:rsidR="00117B69" w:rsidRPr="00A77547" w:rsidRDefault="000C3718" w:rsidP="004721A6">
    <w:pPr>
      <w:pStyle w:val="Zpat"/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8C3196" wp14:editId="7357162A">
              <wp:simplePos x="0" y="0"/>
              <wp:positionH relativeFrom="column">
                <wp:posOffset>-113030</wp:posOffset>
              </wp:positionH>
              <wp:positionV relativeFrom="paragraph">
                <wp:posOffset>686435</wp:posOffset>
              </wp:positionV>
              <wp:extent cx="5975350" cy="594995"/>
              <wp:effectExtent l="0" t="0" r="0" b="3175"/>
              <wp:wrapNone/>
              <wp:docPr id="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0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DFBDB" w14:textId="77777777" w:rsidR="00117B69" w:rsidRPr="000E23A4" w:rsidRDefault="00117B69" w:rsidP="00A77547">
                          <w:pPr>
                            <w:pStyle w:val="AVANT-Zpat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AVANT Fund Management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investiční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společnost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, a. s.</w:t>
                          </w:r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•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Koněvova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2660/141 • 130 83 Praha 3 –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Žižkov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• Czech Republic</w:t>
                          </w:r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br/>
                            <w:t>tel.: +420 267 997 769 • fax.: +420 296 566 455 • www.avantfunds.cz • info@avantfunds.cz</w:t>
                          </w:r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br/>
                            <w:t xml:space="preserve">IČ: 275 90 241 • DIČ: CZ 275 90 241 •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zapsáno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v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obchodním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rejstříku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vedeném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Městským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soudem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v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Praze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oddíl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B,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vložka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11040</w:t>
                          </w:r>
                        </w:p>
                        <w:p w14:paraId="00C3C0A0" w14:textId="77777777" w:rsidR="00117B69" w:rsidRPr="000E23A4" w:rsidRDefault="00117B69" w:rsidP="004721A6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C3196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31" type="#_x0000_t202" style="position:absolute;margin-left:-8.9pt;margin-top:54.05pt;width:470.5pt;height:4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" filled="f" stroked="f">
              <v:textbox style="mso-fit-shape-to-text:t">
                <w:txbxContent>
                  <w:p w14:paraId="2E4DFBDB" w14:textId="77777777" w:rsidR="00117B69" w:rsidRPr="000E23A4" w:rsidRDefault="00117B69" w:rsidP="00A77547">
                    <w:pPr>
                      <w:pStyle w:val="AVANT-Zpat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AVANT Fund Management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investiční</w:t>
                    </w:r>
                    <w:proofErr w:type="spellEnd"/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společnost</w:t>
                    </w:r>
                    <w:proofErr w:type="spellEnd"/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, a. s.</w:t>
                    </w:r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•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Koněvova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2660/141 • 130 83 Praha 3 –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Žižkov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• Czech Republic</w:t>
                    </w:r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br/>
                      <w:t>tel.: +420 267 997 769 • fax.: +420 296 566 455 • www.avantfunds.cz • info@avantfunds.cz</w:t>
                    </w:r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br/>
                      <w:t xml:space="preserve">IČ: 275 90 241 • DIČ: CZ 275 90 241 •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zapsáno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v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obchodním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rejstříku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vedeném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Městským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soudem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v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Praze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oddíl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B,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vložka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11040</w:t>
                    </w:r>
                  </w:p>
                  <w:p w14:paraId="00C3C0A0" w14:textId="77777777" w:rsidR="00117B69" w:rsidRPr="000E23A4" w:rsidRDefault="00117B69" w:rsidP="004721A6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C011" w14:textId="77777777" w:rsidR="00C250C1" w:rsidRPr="00BE369D" w:rsidRDefault="00C250C1" w:rsidP="00CD7B95">
    <w:pPr>
      <w:pStyle w:val="AVANT-Zpat"/>
      <w:rPr>
        <w:sz w:val="2"/>
        <w:szCs w:val="2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EAE0D23" wp14:editId="563AE410">
              <wp:simplePos x="0" y="0"/>
              <wp:positionH relativeFrom="margin">
                <wp:posOffset>5892165</wp:posOffset>
              </wp:positionH>
              <wp:positionV relativeFrom="paragraph">
                <wp:posOffset>738505</wp:posOffset>
              </wp:positionV>
              <wp:extent cx="615950" cy="247650"/>
              <wp:effectExtent l="0" t="0" r="0" b="0"/>
              <wp:wrapSquare wrapText="bothSides"/>
              <wp:docPr id="1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A28A96" w14:textId="77777777" w:rsidR="00C250C1" w:rsidRPr="009F6F66" w:rsidRDefault="00C250C1" w:rsidP="00C56CE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begin"/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instrText>PAGE  \* Arabic  \* MERGEFORMAT</w:instrText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separate"/>
                          </w:r>
                          <w:r w:rsidR="00551C41">
                            <w:rPr>
                              <w:b/>
                              <w:noProof/>
                              <w:color w:val="FFFFFF" w:themeColor="background1"/>
                              <w:sz w:val="24"/>
                            </w:rPr>
                            <w:t>4</w:t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z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E0D2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63.95pt;margin-top:58.15pt;width:48.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" filled="f" stroked="f">
              <v:textbox>
                <w:txbxContent>
                  <w:p w14:paraId="74A28A96" w14:textId="77777777" w:rsidR="00C250C1" w:rsidRPr="009F6F66" w:rsidRDefault="00C250C1" w:rsidP="00C56CEA">
                    <w:pPr>
                      <w:jc w:val="right"/>
                      <w:rPr>
                        <w:b/>
                        <w:color w:val="FFFFFF" w:themeColor="background1"/>
                        <w:sz w:val="24"/>
                      </w:rPr>
                    </w:pP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begin"/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instrText>PAGE  \* Arabic  \* MERGEFORMAT</w:instrText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separate"/>
                    </w:r>
                    <w:r w:rsidR="00551C41">
                      <w:rPr>
                        <w:b/>
                        <w:noProof/>
                        <w:color w:val="FFFFFF" w:themeColor="background1"/>
                        <w:sz w:val="24"/>
                      </w:rPr>
                      <w:t>4</w:t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t xml:space="preserve"> z</w:t>
                    </w:r>
                    <w:r>
                      <w:rPr>
                        <w:b/>
                        <w:color w:val="FFFFFF" w:themeColor="background1"/>
                        <w:sz w:val="24"/>
                      </w:rPr>
                      <w:t xml:space="preserve"> 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4C1D52" wp14:editId="7F0D8EA7">
              <wp:simplePos x="0" y="0"/>
              <wp:positionH relativeFrom="margin">
                <wp:posOffset>10160</wp:posOffset>
              </wp:positionH>
              <wp:positionV relativeFrom="page">
                <wp:posOffset>9632950</wp:posOffset>
              </wp:positionV>
              <wp:extent cx="5949950" cy="800100"/>
              <wp:effectExtent l="0" t="0" r="1270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C01F3" w14:textId="77777777" w:rsidR="00C250C1" w:rsidRPr="009F6F66" w:rsidRDefault="00C250C1" w:rsidP="009F6F66">
                          <w:pPr>
                            <w:pStyle w:val="AVANT-Zpat"/>
                            <w:spacing w:line="360" w:lineRule="auto"/>
                            <w:rPr>
                              <w:rFonts w:ascii="Arial" w:hAnsi="Arial" w:cs="Arial"/>
                              <w:color w:val="D0CECE" w:themeColor="background2" w:themeShade="E6"/>
                              <w:sz w:val="16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cs-CZ"/>
                            </w:rPr>
                            <w:t>AVANT investiční společnost, a. s.</w:t>
                          </w:r>
                          <w:r w:rsidRPr="009F6F66">
                            <w:rPr>
                              <w:rFonts w:ascii="Arial" w:hAnsi="Arial" w:cs="Arial"/>
                              <w:sz w:val="20"/>
                              <w:szCs w:val="16"/>
                              <w:lang w:val="cs-CZ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cs-CZ"/>
                            </w:rPr>
                            <w:br/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Rohanské nábřeží 671/15, Karlín, 186 00 Praha 8• Czech Republic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>tel.: +420 267 997 769 • fax.: +420 296 566 455 • www.avantfunds.cz • info@avantfunds.cz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 xml:space="preserve">IČO: 275 90 241 • DIČ: CZ 275 90 241 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>zapsáno v obchodním rejstříku vedeném Městským soudem v Praze, oddíl B, vložka 11040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4C1D52" id="_x0000_s1033" type="#_x0000_t202" style="position:absolute;margin-left:.8pt;margin-top:758.5pt;width:468.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" filled="f" stroked="f" strokeweight="0">
              <v:textbox inset="0,0,0,0">
                <w:txbxContent>
                  <w:p w14:paraId="429C01F3" w14:textId="77777777" w:rsidR="00C250C1" w:rsidRPr="009F6F66" w:rsidRDefault="00C250C1" w:rsidP="009F6F66">
                    <w:pPr>
                      <w:pStyle w:val="AVANT-Zpat"/>
                      <w:spacing w:line="360" w:lineRule="auto"/>
                      <w:rPr>
                        <w:rFonts w:ascii="Arial" w:hAnsi="Arial" w:cs="Arial"/>
                        <w:color w:val="D0CECE" w:themeColor="background2" w:themeShade="E6"/>
                        <w:sz w:val="16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b/>
                        <w:sz w:val="20"/>
                        <w:szCs w:val="16"/>
                        <w:lang w:val="cs-CZ"/>
                      </w:rPr>
                      <w:t>AVANT investiční společnost, a. s.</w:t>
                    </w:r>
                    <w:r w:rsidRPr="009F6F66">
                      <w:rPr>
                        <w:rFonts w:ascii="Arial" w:hAnsi="Arial" w:cs="Arial"/>
                        <w:sz w:val="20"/>
                        <w:szCs w:val="16"/>
                        <w:lang w:val="cs-CZ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cs-CZ"/>
                      </w:rPr>
                      <w:br/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Rohanské nábřeží 671/15, Karlín, 186 00 Praha 8• Czech Republic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>tel.: +420 267 997 769 • fax.: +420 296 566 455 • www.avantfunds.cz • info@avantfunds.cz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 xml:space="preserve">IČO: 275 90 241 • DIČ: CZ 275 90 241 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>zapsáno v obchodním rejstříku vedeném Městským soudem v Praze, oddíl B, vložka 11040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26A1E4" wp14:editId="531D802B">
              <wp:simplePos x="0" y="0"/>
              <wp:positionH relativeFrom="column">
                <wp:posOffset>-980440</wp:posOffset>
              </wp:positionH>
              <wp:positionV relativeFrom="paragraph">
                <wp:posOffset>20955</wp:posOffset>
              </wp:positionV>
              <wp:extent cx="9441180" cy="1282700"/>
              <wp:effectExtent l="19050" t="19050" r="45720" b="50800"/>
              <wp:wrapNone/>
              <wp:docPr id="1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1180" cy="1282700"/>
                      </a:xfrm>
                      <a:prstGeom prst="rect">
                        <a:avLst/>
                      </a:prstGeom>
                      <a:solidFill>
                        <a:srgbClr val="0D2234"/>
                      </a:solidFill>
                      <a:ln w="38100">
                        <a:solidFill>
                          <a:srgbClr val="272727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7900CC40" id="Rectangle 4" o:spid="_x0000_s1026" style="position:absolute;margin-left:-77.2pt;margin-top:1.65pt;width:743.4pt;height:10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" fillcolor="#0d2234" strokecolor="#272727" strokeweight="3pt">
              <v:shadow on="t" color="#7f7f7f" opacity=".5" offset="1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A126" w14:textId="77777777" w:rsidR="00BA0852" w:rsidRDefault="00BA0852" w:rsidP="004721A6">
      <w:r>
        <w:separator/>
      </w:r>
    </w:p>
  </w:footnote>
  <w:footnote w:type="continuationSeparator" w:id="0">
    <w:p w14:paraId="19BC04CD" w14:textId="77777777" w:rsidR="00BA0852" w:rsidRDefault="00BA0852" w:rsidP="0047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0DBC" w14:textId="55712D51" w:rsidR="00F81B9D" w:rsidRDefault="00630D75">
    <w:pPr>
      <w:pStyle w:val="Zhlav"/>
    </w:pPr>
    <w:r>
      <w:drawing>
        <wp:anchor distT="0" distB="0" distL="114300" distR="114300" simplePos="0" relativeHeight="251667456" behindDoc="1" locked="0" layoutInCell="1" allowOverlap="1" wp14:anchorId="6B4A0DB1" wp14:editId="0A305EF9">
          <wp:simplePos x="0" y="0"/>
          <wp:positionH relativeFrom="margin">
            <wp:posOffset>-201295</wp:posOffset>
          </wp:positionH>
          <wp:positionV relativeFrom="paragraph">
            <wp:posOffset>-506730</wp:posOffset>
          </wp:positionV>
          <wp:extent cx="1647825" cy="824230"/>
          <wp:effectExtent l="0" t="0" r="0" b="0"/>
          <wp:wrapTight wrapText="bothSides">
            <wp:wrapPolygon edited="0">
              <wp:start x="4495" y="3994"/>
              <wp:lineTo x="2747" y="12980"/>
              <wp:lineTo x="2247" y="16974"/>
              <wp:lineTo x="18479" y="16974"/>
              <wp:lineTo x="18978" y="6490"/>
              <wp:lineTo x="18728" y="3994"/>
              <wp:lineTo x="4495" y="3994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921D59B" wp14:editId="18882EDB">
              <wp:simplePos x="0" y="0"/>
              <wp:positionH relativeFrom="margin">
                <wp:posOffset>4385310</wp:posOffset>
              </wp:positionH>
              <wp:positionV relativeFrom="page">
                <wp:posOffset>320187</wp:posOffset>
              </wp:positionV>
              <wp:extent cx="2260600" cy="49466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0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F5C28" w14:textId="7FC4E07F" w:rsidR="005B0A24" w:rsidRPr="005B0A24" w:rsidRDefault="008E08B8" w:rsidP="008E08B8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KID</w:t>
                          </w:r>
                        </w:p>
                        <w:p w14:paraId="266CC644" w14:textId="58F85A93" w:rsidR="005B0A24" w:rsidRPr="008E08B8" w:rsidRDefault="005B0A24" w:rsidP="008E08B8">
                          <w:pPr>
                            <w:jc w:val="right"/>
                          </w:pPr>
                          <w:r>
                            <w:t>Fond kvalifikovaných investorů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21D59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45.3pt;margin-top:25.2pt;width:178pt;height:38.9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" filled="f" stroked="f">
              <v:textbox style="mso-fit-shape-to-text:t">
                <w:txbxContent>
                  <w:p w14:paraId="411F5C28" w14:textId="7FC4E07F" w:rsidR="005B0A24" w:rsidRPr="005B0A24" w:rsidRDefault="008E08B8" w:rsidP="008E08B8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KID</w:t>
                    </w:r>
                  </w:p>
                  <w:p w14:paraId="266CC644" w14:textId="58F85A93" w:rsidR="005B0A24" w:rsidRPr="008E08B8" w:rsidRDefault="005B0A24" w:rsidP="008E08B8">
                    <w:pPr>
                      <w:jc w:val="right"/>
                    </w:pPr>
                    <w:r>
                      <w:t>Fond kvalifikovaných investorů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D2D"/>
    <w:multiLevelType w:val="hybridMultilevel"/>
    <w:tmpl w:val="6E788F56"/>
    <w:lvl w:ilvl="0" w:tplc="D456A87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B1D4BF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764C49C">
      <w:start w:val="1"/>
      <w:numFmt w:val="lowerLetter"/>
      <w:pStyle w:val="zkladntextslovan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7090F"/>
    <w:multiLevelType w:val="hybridMultilevel"/>
    <w:tmpl w:val="C0A03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551B"/>
    <w:multiLevelType w:val="hybridMultilevel"/>
    <w:tmpl w:val="047A1ED8"/>
    <w:lvl w:ilvl="0" w:tplc="94FE7E24">
      <w:start w:val="1"/>
      <w:numFmt w:val="bullet"/>
      <w:pStyle w:val="AVANT-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101F"/>
    <w:multiLevelType w:val="hybridMultilevel"/>
    <w:tmpl w:val="6BB0C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76CC"/>
    <w:multiLevelType w:val="hybridMultilevel"/>
    <w:tmpl w:val="704C9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93980"/>
    <w:multiLevelType w:val="hybridMultilevel"/>
    <w:tmpl w:val="58261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415AC"/>
    <w:multiLevelType w:val="hybridMultilevel"/>
    <w:tmpl w:val="15E44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511A7"/>
    <w:multiLevelType w:val="hybridMultilevel"/>
    <w:tmpl w:val="EB640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E2C59"/>
    <w:multiLevelType w:val="hybridMultilevel"/>
    <w:tmpl w:val="0E204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66A25"/>
    <w:multiLevelType w:val="hybridMultilevel"/>
    <w:tmpl w:val="A9A4A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916EC"/>
    <w:multiLevelType w:val="hybridMultilevel"/>
    <w:tmpl w:val="FE247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D04A5"/>
    <w:multiLevelType w:val="hybridMultilevel"/>
    <w:tmpl w:val="53763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760351">
    <w:abstractNumId w:val="2"/>
  </w:num>
  <w:num w:numId="2" w16cid:durableId="14424668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2588303">
    <w:abstractNumId w:val="8"/>
  </w:num>
  <w:num w:numId="4" w16cid:durableId="274025066">
    <w:abstractNumId w:val="10"/>
  </w:num>
  <w:num w:numId="5" w16cid:durableId="407577016">
    <w:abstractNumId w:val="6"/>
  </w:num>
  <w:num w:numId="6" w16cid:durableId="1441486875">
    <w:abstractNumId w:val="4"/>
  </w:num>
  <w:num w:numId="7" w16cid:durableId="711155612">
    <w:abstractNumId w:val="7"/>
  </w:num>
  <w:num w:numId="8" w16cid:durableId="1125540997">
    <w:abstractNumId w:val="3"/>
  </w:num>
  <w:num w:numId="9" w16cid:durableId="700475283">
    <w:abstractNumId w:val="0"/>
  </w:num>
  <w:num w:numId="10" w16cid:durableId="971597855">
    <w:abstractNumId w:val="9"/>
  </w:num>
  <w:num w:numId="11" w16cid:durableId="222839200">
    <w:abstractNumId w:val="11"/>
  </w:num>
  <w:num w:numId="12" w16cid:durableId="2141344006">
    <w:abstractNumId w:val="1"/>
  </w:num>
  <w:num w:numId="13" w16cid:durableId="64736595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CE"/>
    <w:rsid w:val="000018F9"/>
    <w:rsid w:val="000075F8"/>
    <w:rsid w:val="00015E56"/>
    <w:rsid w:val="0002330D"/>
    <w:rsid w:val="00023715"/>
    <w:rsid w:val="00030A9B"/>
    <w:rsid w:val="00032981"/>
    <w:rsid w:val="00033CE8"/>
    <w:rsid w:val="000424CC"/>
    <w:rsid w:val="00044586"/>
    <w:rsid w:val="0004521F"/>
    <w:rsid w:val="000457DF"/>
    <w:rsid w:val="00052D65"/>
    <w:rsid w:val="00057309"/>
    <w:rsid w:val="0006092F"/>
    <w:rsid w:val="00060B8F"/>
    <w:rsid w:val="000662E2"/>
    <w:rsid w:val="00070522"/>
    <w:rsid w:val="00075752"/>
    <w:rsid w:val="000817DD"/>
    <w:rsid w:val="00082155"/>
    <w:rsid w:val="000851FA"/>
    <w:rsid w:val="00090D42"/>
    <w:rsid w:val="000928BF"/>
    <w:rsid w:val="00096E17"/>
    <w:rsid w:val="00097C20"/>
    <w:rsid w:val="000A19C9"/>
    <w:rsid w:val="000A2E2D"/>
    <w:rsid w:val="000A317F"/>
    <w:rsid w:val="000B080D"/>
    <w:rsid w:val="000B18CC"/>
    <w:rsid w:val="000B1ADE"/>
    <w:rsid w:val="000B285D"/>
    <w:rsid w:val="000B29DA"/>
    <w:rsid w:val="000B37B7"/>
    <w:rsid w:val="000B4BFD"/>
    <w:rsid w:val="000B4C54"/>
    <w:rsid w:val="000B5681"/>
    <w:rsid w:val="000C3718"/>
    <w:rsid w:val="000C383F"/>
    <w:rsid w:val="000C3C8B"/>
    <w:rsid w:val="000D08CB"/>
    <w:rsid w:val="000D0AC5"/>
    <w:rsid w:val="000D1119"/>
    <w:rsid w:val="000D162D"/>
    <w:rsid w:val="000D16A4"/>
    <w:rsid w:val="000D3261"/>
    <w:rsid w:val="000D3C23"/>
    <w:rsid w:val="000D3D9B"/>
    <w:rsid w:val="000E1423"/>
    <w:rsid w:val="000E23A4"/>
    <w:rsid w:val="000F1133"/>
    <w:rsid w:val="000F6B89"/>
    <w:rsid w:val="00100ED3"/>
    <w:rsid w:val="00101F32"/>
    <w:rsid w:val="00104124"/>
    <w:rsid w:val="00104A8F"/>
    <w:rsid w:val="0011229B"/>
    <w:rsid w:val="001127ED"/>
    <w:rsid w:val="001153FA"/>
    <w:rsid w:val="00115E4D"/>
    <w:rsid w:val="00117B69"/>
    <w:rsid w:val="00117BA6"/>
    <w:rsid w:val="00122642"/>
    <w:rsid w:val="001240FC"/>
    <w:rsid w:val="00124E9D"/>
    <w:rsid w:val="001322DA"/>
    <w:rsid w:val="00133A50"/>
    <w:rsid w:val="00135E98"/>
    <w:rsid w:val="00145409"/>
    <w:rsid w:val="001455D5"/>
    <w:rsid w:val="00145D5B"/>
    <w:rsid w:val="00152305"/>
    <w:rsid w:val="00156D65"/>
    <w:rsid w:val="00157CCB"/>
    <w:rsid w:val="001602FC"/>
    <w:rsid w:val="00160737"/>
    <w:rsid w:val="00161DC0"/>
    <w:rsid w:val="00163791"/>
    <w:rsid w:val="0017393A"/>
    <w:rsid w:val="00180BC3"/>
    <w:rsid w:val="001820A4"/>
    <w:rsid w:val="00184016"/>
    <w:rsid w:val="001840DB"/>
    <w:rsid w:val="001872E2"/>
    <w:rsid w:val="00192398"/>
    <w:rsid w:val="0019319A"/>
    <w:rsid w:val="001A0EDD"/>
    <w:rsid w:val="001A227E"/>
    <w:rsid w:val="001A409F"/>
    <w:rsid w:val="001B0905"/>
    <w:rsid w:val="001B1078"/>
    <w:rsid w:val="001B128A"/>
    <w:rsid w:val="001B141E"/>
    <w:rsid w:val="001B5A64"/>
    <w:rsid w:val="001B5FE7"/>
    <w:rsid w:val="001B6358"/>
    <w:rsid w:val="001B7A89"/>
    <w:rsid w:val="001C2C68"/>
    <w:rsid w:val="001D2324"/>
    <w:rsid w:val="001D28D7"/>
    <w:rsid w:val="001D2CB8"/>
    <w:rsid w:val="001D5FCE"/>
    <w:rsid w:val="001D6450"/>
    <w:rsid w:val="001D6765"/>
    <w:rsid w:val="001D74B5"/>
    <w:rsid w:val="001E0845"/>
    <w:rsid w:val="001E0BEE"/>
    <w:rsid w:val="001E3FC3"/>
    <w:rsid w:val="001E58B6"/>
    <w:rsid w:val="001F020D"/>
    <w:rsid w:val="001F340A"/>
    <w:rsid w:val="001F7223"/>
    <w:rsid w:val="0020568E"/>
    <w:rsid w:val="00207FA7"/>
    <w:rsid w:val="002112E1"/>
    <w:rsid w:val="00212162"/>
    <w:rsid w:val="00212FA1"/>
    <w:rsid w:val="00213408"/>
    <w:rsid w:val="002135F6"/>
    <w:rsid w:val="00214583"/>
    <w:rsid w:val="00215C01"/>
    <w:rsid w:val="0022295E"/>
    <w:rsid w:val="00222ACC"/>
    <w:rsid w:val="0022584B"/>
    <w:rsid w:val="00226E9B"/>
    <w:rsid w:val="002305EF"/>
    <w:rsid w:val="0023205B"/>
    <w:rsid w:val="00233AC4"/>
    <w:rsid w:val="002346A7"/>
    <w:rsid w:val="00236A04"/>
    <w:rsid w:val="00240606"/>
    <w:rsid w:val="00240ED2"/>
    <w:rsid w:val="00246761"/>
    <w:rsid w:val="00250A7C"/>
    <w:rsid w:val="00257C5E"/>
    <w:rsid w:val="002631A5"/>
    <w:rsid w:val="0026715E"/>
    <w:rsid w:val="002732EE"/>
    <w:rsid w:val="00275F2E"/>
    <w:rsid w:val="002818F5"/>
    <w:rsid w:val="00282A12"/>
    <w:rsid w:val="0028415A"/>
    <w:rsid w:val="00285108"/>
    <w:rsid w:val="002864A0"/>
    <w:rsid w:val="0028695D"/>
    <w:rsid w:val="00286C0F"/>
    <w:rsid w:val="00290A3D"/>
    <w:rsid w:val="00291BB5"/>
    <w:rsid w:val="002973FC"/>
    <w:rsid w:val="002B2039"/>
    <w:rsid w:val="002B3605"/>
    <w:rsid w:val="002C016D"/>
    <w:rsid w:val="002C12F3"/>
    <w:rsid w:val="002C138D"/>
    <w:rsid w:val="002C19FF"/>
    <w:rsid w:val="002C318F"/>
    <w:rsid w:val="002C4264"/>
    <w:rsid w:val="002C643A"/>
    <w:rsid w:val="002D172C"/>
    <w:rsid w:val="002D445A"/>
    <w:rsid w:val="002D7C92"/>
    <w:rsid w:val="002E3250"/>
    <w:rsid w:val="002E4DAE"/>
    <w:rsid w:val="002E5FD2"/>
    <w:rsid w:val="002E64F0"/>
    <w:rsid w:val="002F0622"/>
    <w:rsid w:val="002F105D"/>
    <w:rsid w:val="002F15DE"/>
    <w:rsid w:val="002F36D7"/>
    <w:rsid w:val="002F3F27"/>
    <w:rsid w:val="002F6154"/>
    <w:rsid w:val="0030251B"/>
    <w:rsid w:val="003119AC"/>
    <w:rsid w:val="00312751"/>
    <w:rsid w:val="003140E2"/>
    <w:rsid w:val="00314F5B"/>
    <w:rsid w:val="0032030B"/>
    <w:rsid w:val="003253D9"/>
    <w:rsid w:val="00327F02"/>
    <w:rsid w:val="00330DB8"/>
    <w:rsid w:val="003313FA"/>
    <w:rsid w:val="0034645A"/>
    <w:rsid w:val="00351F5C"/>
    <w:rsid w:val="00353173"/>
    <w:rsid w:val="00356CE9"/>
    <w:rsid w:val="00361BFB"/>
    <w:rsid w:val="0036226D"/>
    <w:rsid w:val="0036608E"/>
    <w:rsid w:val="00375941"/>
    <w:rsid w:val="0037679E"/>
    <w:rsid w:val="00381178"/>
    <w:rsid w:val="0038147E"/>
    <w:rsid w:val="00383E10"/>
    <w:rsid w:val="0038470A"/>
    <w:rsid w:val="003873FD"/>
    <w:rsid w:val="00390BBC"/>
    <w:rsid w:val="003A5498"/>
    <w:rsid w:val="003B6726"/>
    <w:rsid w:val="003C1357"/>
    <w:rsid w:val="003C194D"/>
    <w:rsid w:val="003C297C"/>
    <w:rsid w:val="003D02F1"/>
    <w:rsid w:val="003D0BC9"/>
    <w:rsid w:val="003D0FEE"/>
    <w:rsid w:val="003D7A03"/>
    <w:rsid w:val="003E2ED0"/>
    <w:rsid w:val="003F49D1"/>
    <w:rsid w:val="003F5388"/>
    <w:rsid w:val="003F62D2"/>
    <w:rsid w:val="003F65B4"/>
    <w:rsid w:val="0040480B"/>
    <w:rsid w:val="00407219"/>
    <w:rsid w:val="00413FA7"/>
    <w:rsid w:val="00414A98"/>
    <w:rsid w:val="004229A4"/>
    <w:rsid w:val="00423237"/>
    <w:rsid w:val="0042446C"/>
    <w:rsid w:val="004259FE"/>
    <w:rsid w:val="00427A18"/>
    <w:rsid w:val="00437E1A"/>
    <w:rsid w:val="00443508"/>
    <w:rsid w:val="0044353F"/>
    <w:rsid w:val="00450702"/>
    <w:rsid w:val="00451F31"/>
    <w:rsid w:val="00452178"/>
    <w:rsid w:val="00454C80"/>
    <w:rsid w:val="00455AEB"/>
    <w:rsid w:val="004721A6"/>
    <w:rsid w:val="004722D2"/>
    <w:rsid w:val="004826D2"/>
    <w:rsid w:val="00485CBA"/>
    <w:rsid w:val="00485FF5"/>
    <w:rsid w:val="00491D77"/>
    <w:rsid w:val="00493DC2"/>
    <w:rsid w:val="00494A33"/>
    <w:rsid w:val="004A010F"/>
    <w:rsid w:val="004A14EC"/>
    <w:rsid w:val="004A1A6B"/>
    <w:rsid w:val="004A2091"/>
    <w:rsid w:val="004A2235"/>
    <w:rsid w:val="004A7F43"/>
    <w:rsid w:val="004B08A0"/>
    <w:rsid w:val="004B4010"/>
    <w:rsid w:val="004B7A53"/>
    <w:rsid w:val="004C029B"/>
    <w:rsid w:val="004C266F"/>
    <w:rsid w:val="004C2B4D"/>
    <w:rsid w:val="004C4F2E"/>
    <w:rsid w:val="004C55FC"/>
    <w:rsid w:val="004C5C04"/>
    <w:rsid w:val="004C6D23"/>
    <w:rsid w:val="004D6943"/>
    <w:rsid w:val="004D79B3"/>
    <w:rsid w:val="004D7C8D"/>
    <w:rsid w:val="004E1243"/>
    <w:rsid w:val="004E12EB"/>
    <w:rsid w:val="004E1477"/>
    <w:rsid w:val="004F047D"/>
    <w:rsid w:val="004F15CA"/>
    <w:rsid w:val="004F2461"/>
    <w:rsid w:val="004F445B"/>
    <w:rsid w:val="004F4FAF"/>
    <w:rsid w:val="004F5E6B"/>
    <w:rsid w:val="004F699B"/>
    <w:rsid w:val="004F6C00"/>
    <w:rsid w:val="004F78C9"/>
    <w:rsid w:val="0050374F"/>
    <w:rsid w:val="00503937"/>
    <w:rsid w:val="00513BDC"/>
    <w:rsid w:val="00514BED"/>
    <w:rsid w:val="00520F80"/>
    <w:rsid w:val="00521BEE"/>
    <w:rsid w:val="00524664"/>
    <w:rsid w:val="005252E0"/>
    <w:rsid w:val="00532019"/>
    <w:rsid w:val="0053436A"/>
    <w:rsid w:val="00534F96"/>
    <w:rsid w:val="00542F90"/>
    <w:rsid w:val="005440DC"/>
    <w:rsid w:val="00545257"/>
    <w:rsid w:val="00550A2F"/>
    <w:rsid w:val="00551C41"/>
    <w:rsid w:val="005535DE"/>
    <w:rsid w:val="00553680"/>
    <w:rsid w:val="00554031"/>
    <w:rsid w:val="00555E5D"/>
    <w:rsid w:val="00560C51"/>
    <w:rsid w:val="00562CE6"/>
    <w:rsid w:val="005725CB"/>
    <w:rsid w:val="005752EF"/>
    <w:rsid w:val="00576004"/>
    <w:rsid w:val="00576206"/>
    <w:rsid w:val="00577F3C"/>
    <w:rsid w:val="00582673"/>
    <w:rsid w:val="00585028"/>
    <w:rsid w:val="005866CE"/>
    <w:rsid w:val="00586D61"/>
    <w:rsid w:val="00596674"/>
    <w:rsid w:val="00597207"/>
    <w:rsid w:val="005A4DBF"/>
    <w:rsid w:val="005A5160"/>
    <w:rsid w:val="005A5937"/>
    <w:rsid w:val="005A6865"/>
    <w:rsid w:val="005A6F9C"/>
    <w:rsid w:val="005B0A24"/>
    <w:rsid w:val="005B500C"/>
    <w:rsid w:val="005C05FA"/>
    <w:rsid w:val="005C24D9"/>
    <w:rsid w:val="005C3BAD"/>
    <w:rsid w:val="005C76C6"/>
    <w:rsid w:val="005E092B"/>
    <w:rsid w:val="005E7996"/>
    <w:rsid w:val="005F0C6C"/>
    <w:rsid w:val="005F1CF3"/>
    <w:rsid w:val="005F3115"/>
    <w:rsid w:val="005F6BCB"/>
    <w:rsid w:val="005F6D03"/>
    <w:rsid w:val="005F72E6"/>
    <w:rsid w:val="00601809"/>
    <w:rsid w:val="00614E37"/>
    <w:rsid w:val="006167F8"/>
    <w:rsid w:val="006237FE"/>
    <w:rsid w:val="00625FBA"/>
    <w:rsid w:val="00630D75"/>
    <w:rsid w:val="00630EBE"/>
    <w:rsid w:val="00631AA4"/>
    <w:rsid w:val="00634976"/>
    <w:rsid w:val="006376C6"/>
    <w:rsid w:val="00640A4B"/>
    <w:rsid w:val="00641FFD"/>
    <w:rsid w:val="00645DB3"/>
    <w:rsid w:val="00647B81"/>
    <w:rsid w:val="0065046C"/>
    <w:rsid w:val="00653732"/>
    <w:rsid w:val="0066192C"/>
    <w:rsid w:val="00664496"/>
    <w:rsid w:val="00664D2B"/>
    <w:rsid w:val="006655A1"/>
    <w:rsid w:val="0066580B"/>
    <w:rsid w:val="006667EE"/>
    <w:rsid w:val="0066765E"/>
    <w:rsid w:val="00670B70"/>
    <w:rsid w:val="006711AC"/>
    <w:rsid w:val="006750F5"/>
    <w:rsid w:val="006820E5"/>
    <w:rsid w:val="006827EF"/>
    <w:rsid w:val="0068448E"/>
    <w:rsid w:val="0068552F"/>
    <w:rsid w:val="00685B03"/>
    <w:rsid w:val="006863FF"/>
    <w:rsid w:val="00687521"/>
    <w:rsid w:val="00687C16"/>
    <w:rsid w:val="00690C44"/>
    <w:rsid w:val="00693220"/>
    <w:rsid w:val="006935E8"/>
    <w:rsid w:val="00697ABA"/>
    <w:rsid w:val="006A4ADB"/>
    <w:rsid w:val="006A4F64"/>
    <w:rsid w:val="006A6092"/>
    <w:rsid w:val="006B2B94"/>
    <w:rsid w:val="006C1A14"/>
    <w:rsid w:val="006C4649"/>
    <w:rsid w:val="006C5299"/>
    <w:rsid w:val="006C5B7B"/>
    <w:rsid w:val="006C6D30"/>
    <w:rsid w:val="006D1687"/>
    <w:rsid w:val="006D5D35"/>
    <w:rsid w:val="006E07CD"/>
    <w:rsid w:val="006E2BD7"/>
    <w:rsid w:val="006E3BFD"/>
    <w:rsid w:val="006E454D"/>
    <w:rsid w:val="006E6426"/>
    <w:rsid w:val="006F340C"/>
    <w:rsid w:val="006F3875"/>
    <w:rsid w:val="006F4917"/>
    <w:rsid w:val="006F5CC2"/>
    <w:rsid w:val="007009EE"/>
    <w:rsid w:val="00702672"/>
    <w:rsid w:val="00703DDE"/>
    <w:rsid w:val="00711998"/>
    <w:rsid w:val="007170B9"/>
    <w:rsid w:val="007227BC"/>
    <w:rsid w:val="00724EF8"/>
    <w:rsid w:val="00725387"/>
    <w:rsid w:val="007309AF"/>
    <w:rsid w:val="007319B6"/>
    <w:rsid w:val="00735142"/>
    <w:rsid w:val="00740ECB"/>
    <w:rsid w:val="00741A01"/>
    <w:rsid w:val="00745F5E"/>
    <w:rsid w:val="0075252B"/>
    <w:rsid w:val="0075256F"/>
    <w:rsid w:val="00752690"/>
    <w:rsid w:val="00757B0F"/>
    <w:rsid w:val="0076017E"/>
    <w:rsid w:val="00766D8A"/>
    <w:rsid w:val="00791BFB"/>
    <w:rsid w:val="00795773"/>
    <w:rsid w:val="007A2A4F"/>
    <w:rsid w:val="007A3DFD"/>
    <w:rsid w:val="007A6913"/>
    <w:rsid w:val="007A71EB"/>
    <w:rsid w:val="007B3302"/>
    <w:rsid w:val="007B3E70"/>
    <w:rsid w:val="007B5592"/>
    <w:rsid w:val="007B5B76"/>
    <w:rsid w:val="007B5C03"/>
    <w:rsid w:val="007B6C59"/>
    <w:rsid w:val="007C04E4"/>
    <w:rsid w:val="007C1874"/>
    <w:rsid w:val="007C1E55"/>
    <w:rsid w:val="007C2372"/>
    <w:rsid w:val="007C79BD"/>
    <w:rsid w:val="007D02D9"/>
    <w:rsid w:val="007D567B"/>
    <w:rsid w:val="007D7769"/>
    <w:rsid w:val="007E1921"/>
    <w:rsid w:val="007E297A"/>
    <w:rsid w:val="007E4591"/>
    <w:rsid w:val="007E6210"/>
    <w:rsid w:val="007F136C"/>
    <w:rsid w:val="007F41AE"/>
    <w:rsid w:val="00801999"/>
    <w:rsid w:val="00801D24"/>
    <w:rsid w:val="00806AD8"/>
    <w:rsid w:val="00807215"/>
    <w:rsid w:val="00807308"/>
    <w:rsid w:val="00811440"/>
    <w:rsid w:val="00814605"/>
    <w:rsid w:val="008174F6"/>
    <w:rsid w:val="0082057B"/>
    <w:rsid w:val="00820FDB"/>
    <w:rsid w:val="00835A42"/>
    <w:rsid w:val="00843795"/>
    <w:rsid w:val="00846BBC"/>
    <w:rsid w:val="008510FD"/>
    <w:rsid w:val="00857917"/>
    <w:rsid w:val="00861F42"/>
    <w:rsid w:val="00866BB2"/>
    <w:rsid w:val="0086706A"/>
    <w:rsid w:val="00870064"/>
    <w:rsid w:val="00873AB9"/>
    <w:rsid w:val="00880FD9"/>
    <w:rsid w:val="00882A56"/>
    <w:rsid w:val="00882C20"/>
    <w:rsid w:val="008859F1"/>
    <w:rsid w:val="00891AF0"/>
    <w:rsid w:val="008A0BF0"/>
    <w:rsid w:val="008A2DC0"/>
    <w:rsid w:val="008A67A5"/>
    <w:rsid w:val="008A7DE4"/>
    <w:rsid w:val="008B1860"/>
    <w:rsid w:val="008B1CEA"/>
    <w:rsid w:val="008C013E"/>
    <w:rsid w:val="008C1C26"/>
    <w:rsid w:val="008C26D4"/>
    <w:rsid w:val="008D0354"/>
    <w:rsid w:val="008D14F7"/>
    <w:rsid w:val="008D18D9"/>
    <w:rsid w:val="008D6944"/>
    <w:rsid w:val="008E08B8"/>
    <w:rsid w:val="008E53DB"/>
    <w:rsid w:val="008E53E1"/>
    <w:rsid w:val="008E6C67"/>
    <w:rsid w:val="008F0257"/>
    <w:rsid w:val="008F02A6"/>
    <w:rsid w:val="008F26A2"/>
    <w:rsid w:val="008F2DF2"/>
    <w:rsid w:val="008F2ED3"/>
    <w:rsid w:val="008F331A"/>
    <w:rsid w:val="009019CD"/>
    <w:rsid w:val="0090264F"/>
    <w:rsid w:val="009041CA"/>
    <w:rsid w:val="00912BC8"/>
    <w:rsid w:val="00915496"/>
    <w:rsid w:val="0091770C"/>
    <w:rsid w:val="00933384"/>
    <w:rsid w:val="0093535C"/>
    <w:rsid w:val="0093784D"/>
    <w:rsid w:val="00937DC0"/>
    <w:rsid w:val="00941659"/>
    <w:rsid w:val="00942C54"/>
    <w:rsid w:val="00943EB8"/>
    <w:rsid w:val="00952507"/>
    <w:rsid w:val="0095757C"/>
    <w:rsid w:val="00961F3B"/>
    <w:rsid w:val="009663EF"/>
    <w:rsid w:val="009740EC"/>
    <w:rsid w:val="00976F43"/>
    <w:rsid w:val="00984246"/>
    <w:rsid w:val="00984599"/>
    <w:rsid w:val="00986FA4"/>
    <w:rsid w:val="009870B8"/>
    <w:rsid w:val="00990C78"/>
    <w:rsid w:val="00991497"/>
    <w:rsid w:val="0099458A"/>
    <w:rsid w:val="00994D1D"/>
    <w:rsid w:val="00994EE5"/>
    <w:rsid w:val="00995BBE"/>
    <w:rsid w:val="009960B8"/>
    <w:rsid w:val="009A1C66"/>
    <w:rsid w:val="009A283E"/>
    <w:rsid w:val="009A6E1D"/>
    <w:rsid w:val="009A6E92"/>
    <w:rsid w:val="009A7C9A"/>
    <w:rsid w:val="009B21F5"/>
    <w:rsid w:val="009C16A1"/>
    <w:rsid w:val="009C48E9"/>
    <w:rsid w:val="009C637F"/>
    <w:rsid w:val="009C7A58"/>
    <w:rsid w:val="009C7C7E"/>
    <w:rsid w:val="009D05AE"/>
    <w:rsid w:val="009D662F"/>
    <w:rsid w:val="009E543A"/>
    <w:rsid w:val="009E6DE6"/>
    <w:rsid w:val="009E7000"/>
    <w:rsid w:val="009F3226"/>
    <w:rsid w:val="009F6F66"/>
    <w:rsid w:val="00A03A30"/>
    <w:rsid w:val="00A04403"/>
    <w:rsid w:val="00A06D54"/>
    <w:rsid w:val="00A06FFE"/>
    <w:rsid w:val="00A11426"/>
    <w:rsid w:val="00A12929"/>
    <w:rsid w:val="00A15119"/>
    <w:rsid w:val="00A162EB"/>
    <w:rsid w:val="00A21586"/>
    <w:rsid w:val="00A24EAB"/>
    <w:rsid w:val="00A26F54"/>
    <w:rsid w:val="00A344B8"/>
    <w:rsid w:val="00A346E4"/>
    <w:rsid w:val="00A37B58"/>
    <w:rsid w:val="00A4141A"/>
    <w:rsid w:val="00A41DD5"/>
    <w:rsid w:val="00A41EB8"/>
    <w:rsid w:val="00A43704"/>
    <w:rsid w:val="00A5518B"/>
    <w:rsid w:val="00A61CF0"/>
    <w:rsid w:val="00A63121"/>
    <w:rsid w:val="00A663BB"/>
    <w:rsid w:val="00A740D5"/>
    <w:rsid w:val="00A76951"/>
    <w:rsid w:val="00A77547"/>
    <w:rsid w:val="00A77DAA"/>
    <w:rsid w:val="00A80336"/>
    <w:rsid w:val="00A8460D"/>
    <w:rsid w:val="00A84704"/>
    <w:rsid w:val="00A87040"/>
    <w:rsid w:val="00A90381"/>
    <w:rsid w:val="00AA30A4"/>
    <w:rsid w:val="00AA5338"/>
    <w:rsid w:val="00AA5C46"/>
    <w:rsid w:val="00AA75CA"/>
    <w:rsid w:val="00AA7EC8"/>
    <w:rsid w:val="00AB1604"/>
    <w:rsid w:val="00AB7CE9"/>
    <w:rsid w:val="00AC1E15"/>
    <w:rsid w:val="00AD0577"/>
    <w:rsid w:val="00AD0BBA"/>
    <w:rsid w:val="00AD3283"/>
    <w:rsid w:val="00AE6225"/>
    <w:rsid w:val="00AE75FB"/>
    <w:rsid w:val="00AF1E78"/>
    <w:rsid w:val="00AF2B7C"/>
    <w:rsid w:val="00AF3DC7"/>
    <w:rsid w:val="00B00012"/>
    <w:rsid w:val="00B034F1"/>
    <w:rsid w:val="00B05768"/>
    <w:rsid w:val="00B10EDC"/>
    <w:rsid w:val="00B1400A"/>
    <w:rsid w:val="00B16692"/>
    <w:rsid w:val="00B21574"/>
    <w:rsid w:val="00B23BCE"/>
    <w:rsid w:val="00B31556"/>
    <w:rsid w:val="00B35A5D"/>
    <w:rsid w:val="00B3725F"/>
    <w:rsid w:val="00B4219F"/>
    <w:rsid w:val="00B4387F"/>
    <w:rsid w:val="00B4429A"/>
    <w:rsid w:val="00B453DC"/>
    <w:rsid w:val="00B52802"/>
    <w:rsid w:val="00B67951"/>
    <w:rsid w:val="00B707BB"/>
    <w:rsid w:val="00B72B88"/>
    <w:rsid w:val="00B72E39"/>
    <w:rsid w:val="00B84E39"/>
    <w:rsid w:val="00B856F9"/>
    <w:rsid w:val="00B90679"/>
    <w:rsid w:val="00B93A46"/>
    <w:rsid w:val="00B95ADA"/>
    <w:rsid w:val="00BA0852"/>
    <w:rsid w:val="00BA2E4C"/>
    <w:rsid w:val="00BA7AEC"/>
    <w:rsid w:val="00BB018F"/>
    <w:rsid w:val="00BB2290"/>
    <w:rsid w:val="00BB2F43"/>
    <w:rsid w:val="00BB72A6"/>
    <w:rsid w:val="00BC28C5"/>
    <w:rsid w:val="00BC5CC6"/>
    <w:rsid w:val="00BD08B8"/>
    <w:rsid w:val="00BD4795"/>
    <w:rsid w:val="00BD49E0"/>
    <w:rsid w:val="00BD5093"/>
    <w:rsid w:val="00BE1DF4"/>
    <w:rsid w:val="00BE369D"/>
    <w:rsid w:val="00BE5898"/>
    <w:rsid w:val="00BE620E"/>
    <w:rsid w:val="00BF361F"/>
    <w:rsid w:val="00BF3D28"/>
    <w:rsid w:val="00BF4CBC"/>
    <w:rsid w:val="00BF4E4C"/>
    <w:rsid w:val="00C0036D"/>
    <w:rsid w:val="00C01616"/>
    <w:rsid w:val="00C04C7F"/>
    <w:rsid w:val="00C06666"/>
    <w:rsid w:val="00C0674F"/>
    <w:rsid w:val="00C074C3"/>
    <w:rsid w:val="00C10344"/>
    <w:rsid w:val="00C15435"/>
    <w:rsid w:val="00C1748A"/>
    <w:rsid w:val="00C212F5"/>
    <w:rsid w:val="00C24948"/>
    <w:rsid w:val="00C250C1"/>
    <w:rsid w:val="00C26ECE"/>
    <w:rsid w:val="00C276E7"/>
    <w:rsid w:val="00C27756"/>
    <w:rsid w:val="00C42D7B"/>
    <w:rsid w:val="00C430DD"/>
    <w:rsid w:val="00C44F9F"/>
    <w:rsid w:val="00C45F08"/>
    <w:rsid w:val="00C47045"/>
    <w:rsid w:val="00C51BA7"/>
    <w:rsid w:val="00C55691"/>
    <w:rsid w:val="00C56CEA"/>
    <w:rsid w:val="00C575E3"/>
    <w:rsid w:val="00C637BA"/>
    <w:rsid w:val="00C71AC1"/>
    <w:rsid w:val="00C735A1"/>
    <w:rsid w:val="00C7406B"/>
    <w:rsid w:val="00C7509D"/>
    <w:rsid w:val="00C75104"/>
    <w:rsid w:val="00C766ED"/>
    <w:rsid w:val="00C87552"/>
    <w:rsid w:val="00C9389B"/>
    <w:rsid w:val="00C93AE5"/>
    <w:rsid w:val="00C95EA5"/>
    <w:rsid w:val="00C95F81"/>
    <w:rsid w:val="00C972DD"/>
    <w:rsid w:val="00C97CB8"/>
    <w:rsid w:val="00CA213A"/>
    <w:rsid w:val="00CA5A30"/>
    <w:rsid w:val="00CB123C"/>
    <w:rsid w:val="00CB4B5E"/>
    <w:rsid w:val="00CB6632"/>
    <w:rsid w:val="00CC0D8B"/>
    <w:rsid w:val="00CC3F69"/>
    <w:rsid w:val="00CD61BE"/>
    <w:rsid w:val="00CD7300"/>
    <w:rsid w:val="00CD7B95"/>
    <w:rsid w:val="00CE1F56"/>
    <w:rsid w:val="00CF1AFC"/>
    <w:rsid w:val="00CF3530"/>
    <w:rsid w:val="00D00D1D"/>
    <w:rsid w:val="00D00DFD"/>
    <w:rsid w:val="00D037B1"/>
    <w:rsid w:val="00D07AB6"/>
    <w:rsid w:val="00D16805"/>
    <w:rsid w:val="00D304B3"/>
    <w:rsid w:val="00D3178E"/>
    <w:rsid w:val="00D32A83"/>
    <w:rsid w:val="00D33C62"/>
    <w:rsid w:val="00D36DC4"/>
    <w:rsid w:val="00D4241B"/>
    <w:rsid w:val="00D44DFA"/>
    <w:rsid w:val="00D45DA3"/>
    <w:rsid w:val="00D4636D"/>
    <w:rsid w:val="00D5352B"/>
    <w:rsid w:val="00D53D06"/>
    <w:rsid w:val="00D55454"/>
    <w:rsid w:val="00D55B81"/>
    <w:rsid w:val="00D62BB7"/>
    <w:rsid w:val="00D63905"/>
    <w:rsid w:val="00D6570A"/>
    <w:rsid w:val="00D80616"/>
    <w:rsid w:val="00D84013"/>
    <w:rsid w:val="00D917B6"/>
    <w:rsid w:val="00D91F6F"/>
    <w:rsid w:val="00D923BC"/>
    <w:rsid w:val="00D94305"/>
    <w:rsid w:val="00DA5A1A"/>
    <w:rsid w:val="00DB1F1F"/>
    <w:rsid w:val="00DB3A12"/>
    <w:rsid w:val="00DC04F6"/>
    <w:rsid w:val="00DC1FAE"/>
    <w:rsid w:val="00DC33BC"/>
    <w:rsid w:val="00DC367A"/>
    <w:rsid w:val="00DC5F37"/>
    <w:rsid w:val="00DC7EA0"/>
    <w:rsid w:val="00DD1AA9"/>
    <w:rsid w:val="00DD221A"/>
    <w:rsid w:val="00DD4AB1"/>
    <w:rsid w:val="00DD4ADD"/>
    <w:rsid w:val="00DE270E"/>
    <w:rsid w:val="00DE3ED6"/>
    <w:rsid w:val="00DE4066"/>
    <w:rsid w:val="00DE59CC"/>
    <w:rsid w:val="00DE7778"/>
    <w:rsid w:val="00DE79A7"/>
    <w:rsid w:val="00DF17E0"/>
    <w:rsid w:val="00DF4A6E"/>
    <w:rsid w:val="00DF5ECE"/>
    <w:rsid w:val="00DF7FB9"/>
    <w:rsid w:val="00E01C37"/>
    <w:rsid w:val="00E045B6"/>
    <w:rsid w:val="00E049C3"/>
    <w:rsid w:val="00E065FB"/>
    <w:rsid w:val="00E07751"/>
    <w:rsid w:val="00E1096B"/>
    <w:rsid w:val="00E10C3A"/>
    <w:rsid w:val="00E124A5"/>
    <w:rsid w:val="00E133FC"/>
    <w:rsid w:val="00E146CF"/>
    <w:rsid w:val="00E159D1"/>
    <w:rsid w:val="00E206BD"/>
    <w:rsid w:val="00E24615"/>
    <w:rsid w:val="00E367FD"/>
    <w:rsid w:val="00E40A72"/>
    <w:rsid w:val="00E416A7"/>
    <w:rsid w:val="00E44EBB"/>
    <w:rsid w:val="00E50469"/>
    <w:rsid w:val="00E523D2"/>
    <w:rsid w:val="00E54863"/>
    <w:rsid w:val="00E55BB6"/>
    <w:rsid w:val="00E564FF"/>
    <w:rsid w:val="00E61426"/>
    <w:rsid w:val="00E661A5"/>
    <w:rsid w:val="00E664AB"/>
    <w:rsid w:val="00E707EF"/>
    <w:rsid w:val="00E7211A"/>
    <w:rsid w:val="00E72A81"/>
    <w:rsid w:val="00E826C6"/>
    <w:rsid w:val="00E848E6"/>
    <w:rsid w:val="00E860C3"/>
    <w:rsid w:val="00E86D07"/>
    <w:rsid w:val="00E87D5A"/>
    <w:rsid w:val="00E9082D"/>
    <w:rsid w:val="00E92117"/>
    <w:rsid w:val="00E92A24"/>
    <w:rsid w:val="00E94E45"/>
    <w:rsid w:val="00E95188"/>
    <w:rsid w:val="00E961E3"/>
    <w:rsid w:val="00E96695"/>
    <w:rsid w:val="00E97F75"/>
    <w:rsid w:val="00EA42ED"/>
    <w:rsid w:val="00EA5D27"/>
    <w:rsid w:val="00EB0AA5"/>
    <w:rsid w:val="00EC049E"/>
    <w:rsid w:val="00EC052B"/>
    <w:rsid w:val="00EC080D"/>
    <w:rsid w:val="00EC3956"/>
    <w:rsid w:val="00EC3CD9"/>
    <w:rsid w:val="00EC55CC"/>
    <w:rsid w:val="00EC5F56"/>
    <w:rsid w:val="00ED19C4"/>
    <w:rsid w:val="00ED2B33"/>
    <w:rsid w:val="00ED5E1B"/>
    <w:rsid w:val="00EE2359"/>
    <w:rsid w:val="00EE25A4"/>
    <w:rsid w:val="00EF1FF0"/>
    <w:rsid w:val="00EF204F"/>
    <w:rsid w:val="00EF32A0"/>
    <w:rsid w:val="00EF3856"/>
    <w:rsid w:val="00F033B3"/>
    <w:rsid w:val="00F07742"/>
    <w:rsid w:val="00F10AA6"/>
    <w:rsid w:val="00F110AE"/>
    <w:rsid w:val="00F11402"/>
    <w:rsid w:val="00F1445F"/>
    <w:rsid w:val="00F158FF"/>
    <w:rsid w:val="00F228F8"/>
    <w:rsid w:val="00F2318F"/>
    <w:rsid w:val="00F26410"/>
    <w:rsid w:val="00F31534"/>
    <w:rsid w:val="00F315DE"/>
    <w:rsid w:val="00F344C1"/>
    <w:rsid w:val="00F345C7"/>
    <w:rsid w:val="00F432D4"/>
    <w:rsid w:val="00F43955"/>
    <w:rsid w:val="00F4492B"/>
    <w:rsid w:val="00F52528"/>
    <w:rsid w:val="00F578D9"/>
    <w:rsid w:val="00F60E9E"/>
    <w:rsid w:val="00F621E6"/>
    <w:rsid w:val="00F63B83"/>
    <w:rsid w:val="00F71B32"/>
    <w:rsid w:val="00F73B36"/>
    <w:rsid w:val="00F76670"/>
    <w:rsid w:val="00F77F7D"/>
    <w:rsid w:val="00F80365"/>
    <w:rsid w:val="00F81707"/>
    <w:rsid w:val="00F81B9D"/>
    <w:rsid w:val="00F843B7"/>
    <w:rsid w:val="00F869CA"/>
    <w:rsid w:val="00F8701F"/>
    <w:rsid w:val="00F9262C"/>
    <w:rsid w:val="00F93BFD"/>
    <w:rsid w:val="00F966FE"/>
    <w:rsid w:val="00F97490"/>
    <w:rsid w:val="00FA0A19"/>
    <w:rsid w:val="00FA1440"/>
    <w:rsid w:val="00FA2BEF"/>
    <w:rsid w:val="00FA2F00"/>
    <w:rsid w:val="00FA5561"/>
    <w:rsid w:val="00FA55B7"/>
    <w:rsid w:val="00FB0635"/>
    <w:rsid w:val="00FB0EF5"/>
    <w:rsid w:val="00FB13E1"/>
    <w:rsid w:val="00FC082F"/>
    <w:rsid w:val="00FC3110"/>
    <w:rsid w:val="00FC3455"/>
    <w:rsid w:val="00FC3D7C"/>
    <w:rsid w:val="00FD167C"/>
    <w:rsid w:val="00FD202C"/>
    <w:rsid w:val="00FD3BBC"/>
    <w:rsid w:val="00FD5B68"/>
    <w:rsid w:val="00FD6BB1"/>
    <w:rsid w:val="00FD74D2"/>
    <w:rsid w:val="00FE015D"/>
    <w:rsid w:val="00FE774F"/>
    <w:rsid w:val="00FF1C51"/>
    <w:rsid w:val="00FF2795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24D1C938"/>
  <w15:docId w15:val="{AD022181-AC7F-46C7-9628-FAEF6ABF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0"/>
    <w:lsdException w:name="heading 2" w:locked="1" w:uiPriority="0"/>
    <w:lsdException w:name="heading 3" w:locked="1" w:uiPriority="0"/>
    <w:lsdException w:name="heading 4" w:locked="1" w:uiPriority="0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721A6"/>
    <w:pPr>
      <w:adjustRightInd w:val="0"/>
    </w:pPr>
    <w:rPr>
      <w:rFonts w:ascii="Arial" w:eastAsia="Times New Roman" w:hAnsi="Arial" w:cs="Arial"/>
      <w:color w:val="0D2234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rsid w:val="00DA5A1A"/>
    <w:pPr>
      <w:keepNext/>
      <w:keepLines/>
      <w:spacing w:before="480"/>
      <w:outlineLvl w:val="0"/>
    </w:pPr>
    <w:rPr>
      <w:rFonts w:ascii="AgfaRotisSemiSerifCE" w:hAnsi="AgfaRotisSemiSerifCE"/>
      <w:b/>
      <w:color w:val="AE1A28"/>
      <w:lang w:val="en-US"/>
    </w:rPr>
  </w:style>
  <w:style w:type="paragraph" w:styleId="Nadpis2">
    <w:name w:val="heading 2"/>
    <w:basedOn w:val="Normln"/>
    <w:next w:val="Normln"/>
    <w:link w:val="Nadpis2Char"/>
    <w:uiPriority w:val="99"/>
    <w:rsid w:val="00DA5A1A"/>
    <w:pPr>
      <w:outlineLvl w:val="1"/>
    </w:pPr>
    <w:rPr>
      <w:rFonts w:ascii="AgfaRotisSemiSerifCE" w:eastAsia="Calibri" w:hAnsi="AgfaRotisSemiSerifCE"/>
      <w:b/>
      <w:bCs/>
      <w:color w:val="000000"/>
      <w:sz w:val="20"/>
      <w:szCs w:val="20"/>
      <w:lang w:val="en-US"/>
    </w:rPr>
  </w:style>
  <w:style w:type="paragraph" w:styleId="Nadpis3">
    <w:name w:val="heading 3"/>
    <w:basedOn w:val="Normln"/>
    <w:next w:val="Normln"/>
    <w:link w:val="Nadpis3Char"/>
    <w:uiPriority w:val="99"/>
    <w:rsid w:val="00DA5A1A"/>
    <w:pPr>
      <w:outlineLvl w:val="2"/>
    </w:pPr>
    <w:rPr>
      <w:rFonts w:ascii="AgfaRotisSemiSerifCE" w:eastAsia="Calibri" w:hAnsi="AgfaRotisSemiSerifCE"/>
      <w:b/>
      <w:bCs/>
      <w:color w:val="000000"/>
      <w:sz w:val="20"/>
      <w:szCs w:val="20"/>
      <w:lang w:val="en-US"/>
    </w:rPr>
  </w:style>
  <w:style w:type="paragraph" w:styleId="Nadpis4">
    <w:name w:val="heading 4"/>
    <w:basedOn w:val="Normln"/>
    <w:next w:val="Normln"/>
    <w:link w:val="Nadpis4Char"/>
    <w:uiPriority w:val="99"/>
    <w:rsid w:val="00E92117"/>
    <w:pPr>
      <w:keepNext/>
      <w:keepLines/>
      <w:spacing w:before="200"/>
      <w:outlineLvl w:val="3"/>
    </w:pPr>
    <w:rPr>
      <w:b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nhideWhenUsed/>
    <w:locked/>
    <w:rsid w:val="004721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locked/>
    <w:rsid w:val="004721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locked/>
    <w:rsid w:val="002346A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locked/>
    <w:rsid w:val="002346A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locked/>
    <w:rsid w:val="002346A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A5A1A"/>
    <w:rPr>
      <w:rFonts w:ascii="AgfaRotisSemiSerifCE" w:hAnsi="AgfaRotisSemiSerifCE"/>
      <w:b/>
      <w:color w:val="AE1A28"/>
      <w:sz w:val="24"/>
      <w:lang w:val="en-US"/>
    </w:rPr>
  </w:style>
  <w:style w:type="character" w:customStyle="1" w:styleId="Nadpis2Char">
    <w:name w:val="Nadpis 2 Char"/>
    <w:link w:val="Nadpis2"/>
    <w:uiPriority w:val="99"/>
    <w:locked/>
    <w:rsid w:val="00DA5A1A"/>
    <w:rPr>
      <w:rFonts w:ascii="AgfaRotisSemiSerifCE" w:hAnsi="AgfaRotisSemiSerifCE"/>
      <w:b/>
      <w:color w:val="000000"/>
      <w:lang w:val="en-US"/>
    </w:rPr>
  </w:style>
  <w:style w:type="character" w:customStyle="1" w:styleId="Nadpis3Char">
    <w:name w:val="Nadpis 3 Char"/>
    <w:link w:val="Nadpis3"/>
    <w:uiPriority w:val="99"/>
    <w:locked/>
    <w:rsid w:val="00DA5A1A"/>
    <w:rPr>
      <w:rFonts w:ascii="AgfaRotisSemiSerifCE" w:hAnsi="AgfaRotisSemiSerifCE"/>
      <w:b/>
      <w:color w:val="000000"/>
      <w:sz w:val="20"/>
      <w:lang w:val="en-US"/>
    </w:rPr>
  </w:style>
  <w:style w:type="character" w:customStyle="1" w:styleId="Nadpis4Char">
    <w:name w:val="Nadpis 4 Char"/>
    <w:link w:val="Nadpis4"/>
    <w:uiPriority w:val="99"/>
    <w:semiHidden/>
    <w:locked/>
    <w:rsid w:val="00E92117"/>
    <w:rPr>
      <w:rFonts w:ascii="Times New Roman" w:hAnsi="Times New Roman"/>
      <w:b/>
      <w:i/>
      <w:color w:val="4F81BD"/>
      <w:sz w:val="18"/>
      <w:lang w:val="en-US"/>
    </w:rPr>
  </w:style>
  <w:style w:type="paragraph" w:styleId="Zhlav">
    <w:name w:val="header"/>
    <w:basedOn w:val="Normln"/>
    <w:link w:val="ZhlavChar"/>
    <w:uiPriority w:val="99"/>
    <w:rsid w:val="00C42D7B"/>
    <w:rPr>
      <w:rFonts w:ascii="AgfaRotisSemiSerifCE" w:eastAsia="Calibri" w:hAnsi="AgfaRotisSemiSerifCE"/>
      <w:b/>
      <w:bCs/>
      <w:noProof/>
      <w:color w:val="000000"/>
    </w:rPr>
  </w:style>
  <w:style w:type="character" w:customStyle="1" w:styleId="ZhlavChar">
    <w:name w:val="Záhlaví Char"/>
    <w:link w:val="Zhlav"/>
    <w:uiPriority w:val="99"/>
    <w:locked/>
    <w:rsid w:val="00C42D7B"/>
    <w:rPr>
      <w:rFonts w:ascii="AgfaRotisSemiSerifCE" w:hAnsi="AgfaRotisSemiSerifCE"/>
      <w:b/>
      <w:noProof/>
      <w:color w:val="000000"/>
      <w:sz w:val="24"/>
      <w:lang w:eastAsia="cs-CZ"/>
    </w:rPr>
  </w:style>
  <w:style w:type="paragraph" w:styleId="Zpat">
    <w:name w:val="footer"/>
    <w:basedOn w:val="BasicParagraph"/>
    <w:link w:val="ZpatChar"/>
    <w:uiPriority w:val="99"/>
    <w:rsid w:val="00E92117"/>
    <w:pPr>
      <w:spacing w:before="567" w:line="240" w:lineRule="auto"/>
    </w:pPr>
    <w:rPr>
      <w:rFonts w:eastAsia="Calibri"/>
      <w:color w:val="000000"/>
      <w:sz w:val="14"/>
      <w:szCs w:val="14"/>
      <w:lang w:val="en-US"/>
    </w:rPr>
  </w:style>
  <w:style w:type="character" w:customStyle="1" w:styleId="ZpatChar">
    <w:name w:val="Zápatí Char"/>
    <w:link w:val="Zpat"/>
    <w:uiPriority w:val="99"/>
    <w:locked/>
    <w:rsid w:val="00E92117"/>
    <w:rPr>
      <w:rFonts w:ascii="Times New Roman" w:hAnsi="Times New Roman"/>
      <w:color w:val="000000"/>
      <w:sz w:val="14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45217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2178"/>
    <w:rPr>
      <w:rFonts w:ascii="Tahoma" w:hAnsi="Tahoma"/>
      <w:sz w:val="16"/>
    </w:rPr>
  </w:style>
  <w:style w:type="character" w:styleId="Zstupntext">
    <w:name w:val="Placeholder Text"/>
    <w:uiPriority w:val="99"/>
    <w:semiHidden/>
    <w:rsid w:val="006820E5"/>
    <w:rPr>
      <w:color w:val="808080"/>
    </w:rPr>
  </w:style>
  <w:style w:type="paragraph" w:customStyle="1" w:styleId="BasicParagraph">
    <w:name w:val="[Basic Paragraph]"/>
    <w:basedOn w:val="Normln"/>
    <w:uiPriority w:val="99"/>
    <w:rsid w:val="005F1CF3"/>
    <w:pPr>
      <w:spacing w:line="288" w:lineRule="auto"/>
    </w:pPr>
  </w:style>
  <w:style w:type="character" w:styleId="Hypertextovodkaz">
    <w:name w:val="Hyperlink"/>
    <w:uiPriority w:val="99"/>
    <w:rsid w:val="00E92117"/>
    <w:rPr>
      <w:rFonts w:ascii="Times New Roman" w:hAnsi="Times New Roman" w:cs="Times New Roman"/>
      <w:color w:val="AE1A28"/>
      <w:u w:val="single"/>
    </w:rPr>
  </w:style>
  <w:style w:type="paragraph" w:customStyle="1" w:styleId="AVANT-Zkladntext">
    <w:name w:val="AVANT - Základní text"/>
    <w:uiPriority w:val="99"/>
    <w:rsid w:val="00E367FD"/>
    <w:pPr>
      <w:suppressAutoHyphens/>
      <w:autoSpaceDE w:val="0"/>
      <w:autoSpaceDN w:val="0"/>
      <w:adjustRightInd w:val="0"/>
      <w:spacing w:after="120" w:line="220" w:lineRule="atLeast"/>
      <w:textAlignment w:val="center"/>
    </w:pPr>
    <w:rPr>
      <w:rFonts w:ascii="Times New Roman" w:hAnsi="Times New Roman" w:cs="AgfaRotisSemiSerifCE"/>
      <w:bCs/>
      <w:color w:val="000000"/>
      <w:sz w:val="18"/>
      <w:szCs w:val="18"/>
      <w:lang w:val="en-US" w:eastAsia="en-US"/>
    </w:rPr>
  </w:style>
  <w:style w:type="paragraph" w:customStyle="1" w:styleId="AVANT-Zpat">
    <w:name w:val="AVANT - Zápatí"/>
    <w:uiPriority w:val="99"/>
    <w:rsid w:val="00F345C7"/>
    <w:pPr>
      <w:spacing w:before="100" w:beforeAutospacing="1"/>
    </w:pPr>
    <w:rPr>
      <w:rFonts w:ascii="Times New Roman" w:hAnsi="Times New Roman" w:cs="AgfaRotisSemiSerifCE"/>
      <w:color w:val="FFFFFF"/>
      <w:sz w:val="14"/>
      <w:szCs w:val="14"/>
      <w:lang w:val="en-US" w:eastAsia="en-US"/>
    </w:rPr>
  </w:style>
  <w:style w:type="paragraph" w:customStyle="1" w:styleId="AVANT-Mini">
    <w:name w:val="AVANT - Mini"/>
    <w:uiPriority w:val="99"/>
    <w:rsid w:val="00E9211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AgfaRotisSemiSerifCE"/>
      <w:color w:val="000000"/>
      <w:sz w:val="16"/>
      <w:szCs w:val="16"/>
      <w:lang w:val="en-US" w:eastAsia="en-US"/>
    </w:rPr>
  </w:style>
  <w:style w:type="paragraph" w:customStyle="1" w:styleId="AVANT-slovnstrnek">
    <w:name w:val="AVANT - Číslování stránek"/>
    <w:uiPriority w:val="99"/>
    <w:rsid w:val="00E92117"/>
    <w:pPr>
      <w:spacing w:after="200" w:line="276" w:lineRule="auto"/>
      <w:jc w:val="right"/>
    </w:pPr>
    <w:rPr>
      <w:rFonts w:ascii="Times New Roman" w:hAnsi="Times New Roman" w:cs="AgfaRotisSemiSerifCE"/>
      <w:bCs/>
      <w:color w:val="000000"/>
      <w:sz w:val="14"/>
      <w:szCs w:val="18"/>
      <w:lang w:val="en-US" w:eastAsia="en-US"/>
    </w:rPr>
  </w:style>
  <w:style w:type="paragraph" w:customStyle="1" w:styleId="AVANT-HlavikaVc">
    <w:name w:val="AVANT - Hlavička (Věc)"/>
    <w:uiPriority w:val="99"/>
    <w:rsid w:val="00E92117"/>
    <w:rPr>
      <w:rFonts w:ascii="Times New Roman" w:hAnsi="Times New Roman" w:cs="AgfaRotisSemiSerifCE"/>
      <w:b/>
      <w:noProof/>
      <w:color w:val="000000"/>
      <w:sz w:val="24"/>
      <w:szCs w:val="24"/>
      <w:lang w:val="en-US"/>
    </w:rPr>
  </w:style>
  <w:style w:type="paragraph" w:customStyle="1" w:styleId="AVANT-Nadpis1rovn">
    <w:name w:val="AVANT - Nadpis 1. úrovně"/>
    <w:next w:val="AVANT-Zkladntext"/>
    <w:uiPriority w:val="99"/>
    <w:rsid w:val="00E133FC"/>
    <w:rPr>
      <w:rFonts w:ascii="Times New Roman" w:eastAsia="Times New Roman" w:hAnsi="Times New Roman"/>
      <w:b/>
      <w:color w:val="AE1A28"/>
      <w:sz w:val="28"/>
      <w:szCs w:val="24"/>
      <w:lang w:val="en-US" w:eastAsia="en-US"/>
    </w:rPr>
  </w:style>
  <w:style w:type="paragraph" w:customStyle="1" w:styleId="AVANT-Nadpis2rovn">
    <w:name w:val="AVANT - Nadpis 2. úrovně"/>
    <w:next w:val="AVANT-Zkladntext"/>
    <w:uiPriority w:val="99"/>
    <w:rsid w:val="00E92117"/>
    <w:rPr>
      <w:rFonts w:ascii="Times New Roman" w:hAnsi="Times New Roman" w:cs="AgfaRotisSemiSerifCE"/>
      <w:b/>
      <w:bCs/>
      <w:color w:val="000000"/>
      <w:sz w:val="22"/>
      <w:szCs w:val="22"/>
      <w:lang w:val="en-US" w:eastAsia="en-US"/>
    </w:rPr>
  </w:style>
  <w:style w:type="paragraph" w:customStyle="1" w:styleId="AVANT-Nadpis3rovn">
    <w:name w:val="AVANT - Nadpis 3. úrovně"/>
    <w:next w:val="AVANT-Zkladntext"/>
    <w:uiPriority w:val="99"/>
    <w:rsid w:val="00E92117"/>
    <w:rPr>
      <w:rFonts w:ascii="Times New Roman" w:hAnsi="Times New Roman" w:cs="AgfaRotisSemiSerifCE"/>
      <w:b/>
      <w:bCs/>
      <w:color w:val="000000"/>
      <w:lang w:val="en-US" w:eastAsia="en-US"/>
    </w:rPr>
  </w:style>
  <w:style w:type="paragraph" w:customStyle="1" w:styleId="AVANT-Webovodkaz">
    <w:name w:val="AVANT - Webový odkaz"/>
    <w:next w:val="AVANT-Zkladntext"/>
    <w:uiPriority w:val="99"/>
    <w:rsid w:val="00614E37"/>
    <w:pPr>
      <w:spacing w:after="200" w:line="276" w:lineRule="auto"/>
    </w:pPr>
    <w:rPr>
      <w:rFonts w:ascii="Times New Roman" w:hAnsi="Times New Roman" w:cs="AgfaRotisSemiSerifCE"/>
      <w:bCs/>
      <w:color w:val="AE1A29"/>
      <w:sz w:val="18"/>
      <w:szCs w:val="18"/>
      <w:u w:val="single"/>
      <w:lang w:val="en-US" w:eastAsia="en-US"/>
    </w:rPr>
  </w:style>
  <w:style w:type="paragraph" w:customStyle="1" w:styleId="AVANT-Odrky">
    <w:name w:val="AVANT - Odrážky"/>
    <w:basedOn w:val="AVANT-Zkladntext"/>
    <w:next w:val="AVANT-Zkladntext"/>
    <w:uiPriority w:val="99"/>
    <w:rsid w:val="00A11426"/>
    <w:pPr>
      <w:numPr>
        <w:numId w:val="1"/>
      </w:numPr>
      <w:ind w:left="426"/>
    </w:pPr>
  </w:style>
  <w:style w:type="table" w:styleId="Mkatabulky">
    <w:name w:val="Table Grid"/>
    <w:basedOn w:val="Normlntabulka"/>
    <w:uiPriority w:val="99"/>
    <w:rsid w:val="0038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rsid w:val="00801999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F966FE"/>
    <w:pPr>
      <w:autoSpaceDE w:val="0"/>
      <w:autoSpaceDN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paragraph" w:styleId="Normlnweb">
    <w:name w:val="Normal (Web)"/>
    <w:basedOn w:val="Normln"/>
    <w:uiPriority w:val="99"/>
    <w:rsid w:val="00DC7EA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4721A6"/>
  </w:style>
  <w:style w:type="character" w:styleId="Odkaznakoment">
    <w:name w:val="annotation reference"/>
    <w:uiPriority w:val="99"/>
    <w:semiHidden/>
    <w:rsid w:val="0065373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373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3732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37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3732"/>
    <w:rPr>
      <w:rFonts w:ascii="Times New Roman" w:hAnsi="Times New Roman" w:cs="Times New Roman"/>
      <w:b/>
      <w:bCs/>
    </w:rPr>
  </w:style>
  <w:style w:type="table" w:styleId="Svtlstnovn">
    <w:name w:val="Light Shading"/>
    <w:basedOn w:val="Normlntabulka"/>
    <w:uiPriority w:val="99"/>
    <w:rsid w:val="00A5518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ze">
    <w:name w:val="Revision"/>
    <w:hidden/>
    <w:uiPriority w:val="99"/>
    <w:semiHidden/>
    <w:rsid w:val="00634976"/>
    <w:rPr>
      <w:rFonts w:ascii="Times New Roman" w:eastAsia="Times New Roman" w:hAnsi="Times New Roman"/>
      <w:sz w:val="24"/>
      <w:szCs w:val="24"/>
    </w:rPr>
  </w:style>
  <w:style w:type="table" w:styleId="Svtlstnovnzvraznn1">
    <w:name w:val="Light Shading Accent 1"/>
    <w:basedOn w:val="Normlntabulka"/>
    <w:uiPriority w:val="99"/>
    <w:rsid w:val="00C44F9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tlstnovnzvraznn2">
    <w:name w:val="Light Shading Accent 2"/>
    <w:basedOn w:val="Normlntabulka"/>
    <w:uiPriority w:val="99"/>
    <w:rsid w:val="00C44F9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tlstnovnzvraznn3">
    <w:name w:val="Light Shading Accent 3"/>
    <w:basedOn w:val="Normlntabulka"/>
    <w:uiPriority w:val="99"/>
    <w:rsid w:val="00C44F9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tlseznam">
    <w:name w:val="Light List"/>
    <w:basedOn w:val="Normlntabulka"/>
    <w:uiPriority w:val="99"/>
    <w:rsid w:val="00C44F9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ezmezer">
    <w:name w:val="No Spacing"/>
    <w:link w:val="BezmezerChar"/>
    <w:uiPriority w:val="99"/>
    <w:rsid w:val="00D5352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99"/>
    <w:locked/>
    <w:rsid w:val="00D5352B"/>
    <w:rPr>
      <w:rFonts w:eastAsia="Times New Roman"/>
      <w:sz w:val="22"/>
      <w:szCs w:val="22"/>
      <w:lang w:val="cs-CZ" w:eastAsia="cs-CZ" w:bidi="ar-SA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F432D4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F432D4"/>
    <w:rPr>
      <w:rFonts w:ascii="Tahoma" w:eastAsia="Times New Roman" w:hAnsi="Tahoma" w:cs="Tahoma"/>
      <w:sz w:val="16"/>
      <w:szCs w:val="16"/>
    </w:rPr>
  </w:style>
  <w:style w:type="paragraph" w:styleId="Podnadpis">
    <w:name w:val="Subtitle"/>
    <w:basedOn w:val="Normln"/>
    <w:next w:val="Zkladntext"/>
    <w:link w:val="PodnadpisChar"/>
    <w:uiPriority w:val="99"/>
    <w:locked/>
    <w:rsid w:val="00AA75CA"/>
    <w:pPr>
      <w:suppressAutoHyphens/>
      <w:jc w:val="both"/>
    </w:pPr>
    <w:rPr>
      <w:spacing w:val="-5"/>
      <w:szCs w:val="20"/>
      <w:lang w:eastAsia="ar-SA"/>
    </w:rPr>
  </w:style>
  <w:style w:type="character" w:customStyle="1" w:styleId="PodnadpisChar">
    <w:name w:val="Podnadpis Char"/>
    <w:link w:val="Podnadpis"/>
    <w:uiPriority w:val="99"/>
    <w:rsid w:val="00AA75CA"/>
    <w:rPr>
      <w:rFonts w:ascii="Arial" w:eastAsia="Times New Roman" w:hAnsi="Arial"/>
      <w:spacing w:val="-5"/>
      <w:sz w:val="24"/>
      <w:lang w:eastAsia="ar-SA"/>
    </w:rPr>
  </w:style>
  <w:style w:type="paragraph" w:styleId="Nzev">
    <w:name w:val="Title"/>
    <w:basedOn w:val="Normln"/>
    <w:next w:val="Podnadpis"/>
    <w:link w:val="NzevChar"/>
    <w:uiPriority w:val="99"/>
    <w:locked/>
    <w:rsid w:val="00AA75CA"/>
    <w:pPr>
      <w:suppressAutoHyphens/>
      <w:jc w:val="center"/>
    </w:pPr>
    <w:rPr>
      <w:b/>
      <w:sz w:val="28"/>
      <w:szCs w:val="20"/>
    </w:rPr>
  </w:style>
  <w:style w:type="character" w:customStyle="1" w:styleId="NzevChar">
    <w:name w:val="Název Char"/>
    <w:link w:val="Nzev"/>
    <w:uiPriority w:val="99"/>
    <w:rsid w:val="00AA75CA"/>
    <w:rPr>
      <w:rFonts w:ascii="Times New Roman" w:eastAsia="Times New Roman" w:hAnsi="Times New Roman"/>
      <w:b/>
      <w:sz w:val="28"/>
    </w:rPr>
  </w:style>
  <w:style w:type="paragraph" w:customStyle="1" w:styleId="zkladntextslovan">
    <w:name w:val="základní text číslovaný"/>
    <w:basedOn w:val="Normln"/>
    <w:rsid w:val="00AA75CA"/>
    <w:pPr>
      <w:numPr>
        <w:ilvl w:val="2"/>
        <w:numId w:val="2"/>
      </w:numPr>
      <w:spacing w:before="120" w:after="60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AA75C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A75CA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6E17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096E17"/>
    <w:rPr>
      <w:rFonts w:ascii="Courier New" w:eastAsia="Times New Roman" w:hAnsi="Courier New" w:cs="Courier New"/>
    </w:rPr>
  </w:style>
  <w:style w:type="character" w:customStyle="1" w:styleId="platne1">
    <w:name w:val="platne1"/>
    <w:basedOn w:val="Standardnpsmoodstavce"/>
    <w:rsid w:val="00145D5B"/>
  </w:style>
  <w:style w:type="paragraph" w:styleId="Textvysvtlivek">
    <w:name w:val="endnote text"/>
    <w:basedOn w:val="Normln"/>
    <w:link w:val="TextvysvtlivekChar"/>
    <w:uiPriority w:val="99"/>
    <w:unhideWhenUsed/>
    <w:rsid w:val="00EA42E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EA42ED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EA42E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42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424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984246"/>
    <w:rPr>
      <w:vertAlign w:val="superscript"/>
    </w:rPr>
  </w:style>
  <w:style w:type="table" w:customStyle="1" w:styleId="Avant-tabulka">
    <w:name w:val="Avant-tabulka"/>
    <w:basedOn w:val="Normlntabulka"/>
    <w:uiPriority w:val="99"/>
    <w:rsid w:val="00BF4E4C"/>
    <w:rPr>
      <w:rFonts w:ascii="Arial" w:hAnsi="Arial"/>
      <w:sz w:val="18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shd w:val="clear" w:color="auto" w:fill="FFFFFF" w:themeFill="background1"/>
      <w:vAlign w:val="center"/>
    </w:tcPr>
    <w:tblStylePr w:type="firstCol">
      <w:tblPr/>
      <w:tcPr>
        <w:shd w:val="clear" w:color="auto" w:fill="F2F2F2" w:themeFill="background1" w:themeFillShade="F2"/>
      </w:tcPr>
    </w:tblStylePr>
  </w:style>
  <w:style w:type="character" w:styleId="Zdraznn">
    <w:name w:val="Emphasis"/>
    <w:aliases w:val="Poznamka"/>
    <w:basedOn w:val="Siln"/>
    <w:locked/>
    <w:rsid w:val="004721A6"/>
    <w:rPr>
      <w:rFonts w:ascii="Arial" w:hAnsi="Arial"/>
      <w:b/>
      <w:i/>
      <w:color w:val="869099"/>
      <w:sz w:val="16"/>
    </w:rPr>
  </w:style>
  <w:style w:type="character" w:styleId="Zdraznnintenzivn">
    <w:name w:val="Intense Emphasis"/>
    <w:aliases w:val="Nadpis sekce 1"/>
    <w:uiPriority w:val="21"/>
    <w:rsid w:val="004721A6"/>
    <w:rPr>
      <w:rFonts w:ascii="Arial" w:hAnsi="Arial"/>
      <w:color w:val="869099"/>
      <w:sz w:val="22"/>
    </w:rPr>
  </w:style>
  <w:style w:type="character" w:styleId="Nzevknihy">
    <w:name w:val="Book Title"/>
    <w:basedOn w:val="Standardnpsmoodstavce"/>
    <w:uiPriority w:val="33"/>
    <w:rsid w:val="004721A6"/>
    <w:rPr>
      <w:b/>
      <w:bCs/>
      <w:i/>
      <w:iCs/>
      <w:spacing w:val="5"/>
    </w:rPr>
  </w:style>
  <w:style w:type="character" w:customStyle="1" w:styleId="Nadpis5Char">
    <w:name w:val="Nadpis 5 Char"/>
    <w:basedOn w:val="Standardnpsmoodstavce"/>
    <w:link w:val="Nadpis5"/>
    <w:rsid w:val="004721A6"/>
    <w:rPr>
      <w:rFonts w:asciiTheme="majorHAnsi" w:eastAsiaTheme="majorEastAsia" w:hAnsiTheme="majorHAnsi" w:cstheme="majorBidi"/>
      <w:color w:val="2E74B5" w:themeColor="accent1" w:themeShade="BF"/>
      <w:sz w:val="18"/>
      <w:szCs w:val="18"/>
    </w:rPr>
  </w:style>
  <w:style w:type="character" w:customStyle="1" w:styleId="Nadpis6Char">
    <w:name w:val="Nadpis 6 Char"/>
    <w:basedOn w:val="Standardnpsmoodstavce"/>
    <w:link w:val="Nadpis6"/>
    <w:rsid w:val="004721A6"/>
    <w:rPr>
      <w:rFonts w:asciiTheme="majorHAnsi" w:eastAsiaTheme="majorEastAsia" w:hAnsiTheme="majorHAnsi" w:cstheme="majorBidi"/>
      <w:color w:val="1F4D78" w:themeColor="accent1" w:themeShade="7F"/>
      <w:sz w:val="18"/>
      <w:szCs w:val="18"/>
    </w:rPr>
  </w:style>
  <w:style w:type="character" w:customStyle="1" w:styleId="Nadpis7Char">
    <w:name w:val="Nadpis 7 Char"/>
    <w:basedOn w:val="Standardnpsmoodstavce"/>
    <w:link w:val="Nadpis7"/>
    <w:rsid w:val="002346A7"/>
    <w:rPr>
      <w:rFonts w:asciiTheme="majorHAnsi" w:eastAsiaTheme="majorEastAsia" w:hAnsiTheme="majorHAnsi" w:cstheme="majorBidi"/>
      <w:i/>
      <w:iCs/>
      <w:color w:val="1F4D78" w:themeColor="accent1" w:themeShade="7F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2346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2346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00text">
    <w:name w:val="00 text"/>
    <w:basedOn w:val="Normln"/>
    <w:link w:val="00textChar"/>
    <w:qFormat/>
    <w:rsid w:val="00BE1DF4"/>
    <w:pPr>
      <w:spacing w:before="40" w:after="40"/>
    </w:pPr>
    <w:rPr>
      <w:sz w:val="16"/>
    </w:rPr>
  </w:style>
  <w:style w:type="paragraph" w:customStyle="1" w:styleId="02poznamka">
    <w:name w:val="02 poznamka"/>
    <w:basedOn w:val="Normln"/>
    <w:link w:val="02poznamkaChar"/>
    <w:qFormat/>
    <w:rsid w:val="008D6944"/>
    <w:rPr>
      <w:i/>
      <w:color w:val="869099"/>
      <w:sz w:val="16"/>
    </w:rPr>
  </w:style>
  <w:style w:type="character" w:customStyle="1" w:styleId="00textChar">
    <w:name w:val="00 text Char"/>
    <w:basedOn w:val="Standardnpsmoodstavce"/>
    <w:link w:val="00text"/>
    <w:rsid w:val="00BE1DF4"/>
    <w:rPr>
      <w:rFonts w:ascii="Arial" w:eastAsia="Times New Roman" w:hAnsi="Arial" w:cs="Arial"/>
      <w:color w:val="0D2234"/>
      <w:sz w:val="16"/>
      <w:szCs w:val="18"/>
    </w:rPr>
  </w:style>
  <w:style w:type="paragraph" w:customStyle="1" w:styleId="04nadpistabulky">
    <w:name w:val="04 nadpis tabulky"/>
    <w:basedOn w:val="Normln"/>
    <w:link w:val="04nadpistabulkyChar"/>
    <w:qFormat/>
    <w:rsid w:val="005B0A24"/>
    <w:pPr>
      <w:jc w:val="center"/>
    </w:pPr>
    <w:rPr>
      <w:b/>
    </w:rPr>
  </w:style>
  <w:style w:type="character" w:customStyle="1" w:styleId="02poznamkaChar">
    <w:name w:val="02 poznamka Char"/>
    <w:basedOn w:val="Standardnpsmoodstavce"/>
    <w:link w:val="02poznamka"/>
    <w:rsid w:val="008D6944"/>
    <w:rPr>
      <w:rFonts w:ascii="Arial" w:eastAsia="Times New Roman" w:hAnsi="Arial" w:cs="Arial"/>
      <w:i/>
      <w:color w:val="869099"/>
      <w:sz w:val="16"/>
      <w:szCs w:val="18"/>
    </w:rPr>
  </w:style>
  <w:style w:type="paragraph" w:customStyle="1" w:styleId="01zvyrazneni">
    <w:name w:val="01 zvyrazneni"/>
    <w:basedOn w:val="00text"/>
    <w:link w:val="01zvyrazneniChar"/>
    <w:qFormat/>
    <w:rsid w:val="008D6944"/>
    <w:rPr>
      <w:b/>
    </w:rPr>
  </w:style>
  <w:style w:type="character" w:customStyle="1" w:styleId="04nadpistabulkyChar">
    <w:name w:val="04 nadpis tabulky Char"/>
    <w:basedOn w:val="Standardnpsmoodstavce"/>
    <w:link w:val="04nadpistabulky"/>
    <w:rsid w:val="005B0A24"/>
    <w:rPr>
      <w:rFonts w:ascii="Arial" w:eastAsia="Times New Roman" w:hAnsi="Arial" w:cs="Arial"/>
      <w:b/>
      <w:color w:val="0D2234"/>
      <w:sz w:val="18"/>
      <w:szCs w:val="18"/>
    </w:rPr>
  </w:style>
  <w:style w:type="paragraph" w:customStyle="1" w:styleId="03nadpissekce">
    <w:name w:val="03 nadpis sekce"/>
    <w:basedOn w:val="Normln"/>
    <w:link w:val="03nadpissekceChar"/>
    <w:qFormat/>
    <w:rsid w:val="00BE1DF4"/>
    <w:rPr>
      <w:color w:val="869099"/>
      <w:sz w:val="20"/>
    </w:rPr>
  </w:style>
  <w:style w:type="character" w:customStyle="1" w:styleId="01zvyrazneniChar">
    <w:name w:val="01 zvyrazneni Char"/>
    <w:basedOn w:val="Standardnpsmoodstavce"/>
    <w:link w:val="01zvyrazneni"/>
    <w:rsid w:val="008D6944"/>
    <w:rPr>
      <w:rFonts w:ascii="Arial" w:eastAsia="Times New Roman" w:hAnsi="Arial" w:cs="Arial"/>
      <w:b/>
      <w:color w:val="0D2234"/>
      <w:sz w:val="16"/>
      <w:szCs w:val="18"/>
    </w:rPr>
  </w:style>
  <w:style w:type="table" w:styleId="Svtlmkatabulky">
    <w:name w:val="Grid Table Light"/>
    <w:basedOn w:val="Normlntabulka"/>
    <w:uiPriority w:val="40"/>
    <w:rsid w:val="00B000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03nadpissekceChar">
    <w:name w:val="03 nadpis sekce Char"/>
    <w:basedOn w:val="Standardnpsmoodstavce"/>
    <w:link w:val="03nadpissekce"/>
    <w:rsid w:val="00BE1DF4"/>
    <w:rPr>
      <w:rFonts w:ascii="Arial" w:eastAsia="Times New Roman" w:hAnsi="Arial" w:cs="Arial"/>
      <w:color w:val="869099"/>
      <w:szCs w:val="18"/>
    </w:rPr>
  </w:style>
  <w:style w:type="table" w:styleId="Jednoduchtabulka1">
    <w:name w:val="Table Simple 1"/>
    <w:basedOn w:val="Normlntabulka"/>
    <w:uiPriority w:val="41"/>
    <w:rsid w:val="00B000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4">
    <w:name w:val="Plain Table 4"/>
    <w:basedOn w:val="Normlntabulka"/>
    <w:uiPriority w:val="44"/>
    <w:rsid w:val="00B000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Jednoduchtabulka2">
    <w:name w:val="Table Simple 2"/>
    <w:basedOn w:val="Normlntabulka"/>
    <w:uiPriority w:val="42"/>
    <w:rsid w:val="00B000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opispole">
    <w:name w:val="Popis pole"/>
    <w:basedOn w:val="Normln"/>
    <w:link w:val="PopispoleChar"/>
    <w:qFormat/>
    <w:rsid w:val="00052D65"/>
    <w:rPr>
      <w:color w:val="BFBFBF"/>
      <w:sz w:val="10"/>
      <w:szCs w:val="22"/>
    </w:rPr>
  </w:style>
  <w:style w:type="character" w:customStyle="1" w:styleId="PopispoleChar">
    <w:name w:val="Popis pole Char"/>
    <w:basedOn w:val="Standardnpsmoodstavce"/>
    <w:link w:val="Popispole"/>
    <w:rsid w:val="00052D65"/>
    <w:rPr>
      <w:rFonts w:ascii="Arial" w:eastAsia="Times New Roman" w:hAnsi="Arial" w:cs="Arial"/>
      <w:color w:val="BFBFBF"/>
      <w:sz w:val="1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1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59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15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78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.dolezal\Documents\Avant%20Marketing\AVANT_Memorandu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A6356-BA59-48F0-9D2B-10FD1707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AVANT_Memorandum</Template>
  <TotalTime>220</TotalTime>
  <Pages>3</Pages>
  <Words>1909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Široký Petr, AVANT Funds</dc:creator>
  <cp:keywords/>
  <cp:lastModifiedBy>Široký Petr, AVANT Funds</cp:lastModifiedBy>
  <cp:revision>48</cp:revision>
  <cp:lastPrinted>2022-11-10T14:56:00Z</cp:lastPrinted>
  <dcterms:created xsi:type="dcterms:W3CDTF">2019-09-05T10:23:00Z</dcterms:created>
  <dcterms:modified xsi:type="dcterms:W3CDTF">2022-11-10T14:56:00Z</dcterms:modified>
</cp:coreProperties>
</file>